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12F" w:rsidRPr="002A212F" w:rsidRDefault="002A212F" w:rsidP="002A212F">
      <w:pPr>
        <w:spacing w:line="254" w:lineRule="auto"/>
        <w:jc w:val="center"/>
      </w:pPr>
    </w:p>
    <w:p w:rsidR="002A212F" w:rsidRPr="002A212F" w:rsidRDefault="002A212F" w:rsidP="002A212F">
      <w:pPr>
        <w:spacing w:after="0" w:line="254" w:lineRule="auto"/>
        <w:jc w:val="center"/>
        <w:rPr>
          <w:rFonts w:ascii="Times New Roman" w:hAnsi="Times New Roman" w:cs="Times New Roman"/>
          <w:b/>
          <w:sz w:val="48"/>
        </w:rPr>
      </w:pPr>
      <w:r w:rsidRPr="002A212F">
        <w:rPr>
          <w:rFonts w:ascii="Times New Roman" w:hAnsi="Times New Roman" w:cs="Times New Roman"/>
          <w:b/>
          <w:sz w:val="48"/>
        </w:rPr>
        <w:t>République de Guinée</w:t>
      </w:r>
    </w:p>
    <w:p w:rsidR="002A212F" w:rsidRPr="002A212F" w:rsidRDefault="002A212F" w:rsidP="002A212F">
      <w:pPr>
        <w:spacing w:after="0" w:line="254" w:lineRule="auto"/>
        <w:jc w:val="center"/>
        <w:rPr>
          <w:rFonts w:ascii="Times New Roman" w:hAnsi="Times New Roman" w:cs="Times New Roman"/>
          <w:b/>
          <w:i/>
        </w:rPr>
      </w:pPr>
      <w:r w:rsidRPr="002A212F">
        <w:rPr>
          <w:rFonts w:ascii="Times New Roman" w:hAnsi="Times New Roman" w:cs="Times New Roman"/>
          <w:b/>
          <w:i/>
          <w:color w:val="FF0000"/>
        </w:rPr>
        <w:t>Travail</w:t>
      </w:r>
      <w:r w:rsidRPr="002A212F">
        <w:rPr>
          <w:rFonts w:ascii="Times New Roman" w:hAnsi="Times New Roman" w:cs="Times New Roman"/>
          <w:b/>
          <w:i/>
        </w:rPr>
        <w:t>-</w:t>
      </w:r>
      <w:r w:rsidRPr="002A212F">
        <w:rPr>
          <w:rFonts w:ascii="Times New Roman" w:hAnsi="Times New Roman" w:cs="Times New Roman"/>
          <w:b/>
          <w:i/>
          <w:color w:val="FFFF00"/>
        </w:rPr>
        <w:t>Justice</w:t>
      </w:r>
      <w:r w:rsidRPr="002A212F">
        <w:rPr>
          <w:rFonts w:ascii="Times New Roman" w:hAnsi="Times New Roman" w:cs="Times New Roman"/>
          <w:b/>
          <w:i/>
        </w:rPr>
        <w:t>-</w:t>
      </w:r>
      <w:r w:rsidRPr="002A212F">
        <w:rPr>
          <w:rFonts w:ascii="Times New Roman" w:hAnsi="Times New Roman" w:cs="Times New Roman"/>
          <w:b/>
          <w:i/>
          <w:color w:val="00B050"/>
        </w:rPr>
        <w:t>Solidarité</w:t>
      </w:r>
    </w:p>
    <w:p w:rsidR="002A212F" w:rsidRPr="002A212F" w:rsidRDefault="002A212F" w:rsidP="002A212F">
      <w:pPr>
        <w:spacing w:line="254" w:lineRule="auto"/>
        <w:jc w:val="center"/>
      </w:pPr>
    </w:p>
    <w:p w:rsidR="002A212F" w:rsidRPr="002A212F" w:rsidRDefault="002A212F" w:rsidP="002A212F">
      <w:pPr>
        <w:spacing w:line="254" w:lineRule="auto"/>
        <w:jc w:val="center"/>
      </w:pPr>
      <w:r w:rsidRPr="002A212F">
        <w:rPr>
          <w:noProof/>
          <w:lang w:eastAsia="fr-FR"/>
        </w:rPr>
        <w:drawing>
          <wp:inline distT="0" distB="0" distL="0" distR="0" wp14:anchorId="3F44A9B0" wp14:editId="482E9D94">
            <wp:extent cx="2489200" cy="1463040"/>
            <wp:effectExtent l="0" t="0" r="6350" b="3810"/>
            <wp:docPr id="1" name="Image 1" descr="7AE3D1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7AE3D1B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0" cy="1463040"/>
                    </a:xfrm>
                    <a:prstGeom prst="rect">
                      <a:avLst/>
                    </a:prstGeom>
                    <a:noFill/>
                    <a:ln>
                      <a:noFill/>
                    </a:ln>
                  </pic:spPr>
                </pic:pic>
              </a:graphicData>
            </a:graphic>
          </wp:inline>
        </w:drawing>
      </w:r>
    </w:p>
    <w:p w:rsidR="002A212F" w:rsidRPr="002A212F" w:rsidRDefault="002A212F" w:rsidP="002A212F">
      <w:pPr>
        <w:spacing w:after="0" w:line="240" w:lineRule="auto"/>
        <w:jc w:val="center"/>
        <w:textAlignment w:val="baseline"/>
        <w:rPr>
          <w:rFonts w:ascii="Century Gothic" w:eastAsia="Times New Roman" w:hAnsi="Century Gothic" w:cs="Segoe UI"/>
          <w:b/>
          <w:bCs/>
          <w:sz w:val="32"/>
          <w:szCs w:val="28"/>
        </w:rPr>
      </w:pPr>
      <w:r w:rsidRPr="002A212F">
        <w:rPr>
          <w:rFonts w:ascii="Century Gothic" w:eastAsia="Times New Roman" w:hAnsi="Century Gothic" w:cs="Segoe UI"/>
          <w:b/>
          <w:bCs/>
          <w:sz w:val="32"/>
          <w:szCs w:val="28"/>
        </w:rPr>
        <w:t>CONSEIL NATIONAL DE LA TRANSITION</w:t>
      </w:r>
    </w:p>
    <w:p w:rsidR="002A212F" w:rsidRPr="002A212F" w:rsidRDefault="002A212F" w:rsidP="002A212F">
      <w:pPr>
        <w:pBdr>
          <w:bottom w:val="single" w:sz="4" w:space="1" w:color="auto"/>
        </w:pBdr>
        <w:spacing w:after="0" w:line="240" w:lineRule="auto"/>
        <w:textAlignment w:val="baseline"/>
        <w:rPr>
          <w:rFonts w:ascii="Segoe UI" w:eastAsia="Times New Roman" w:hAnsi="Segoe UI" w:cs="Segoe UI"/>
          <w:sz w:val="28"/>
          <w:szCs w:val="28"/>
        </w:rPr>
      </w:pPr>
    </w:p>
    <w:p w:rsidR="002A212F" w:rsidRPr="002A212F" w:rsidRDefault="002A212F" w:rsidP="002A212F">
      <w:pPr>
        <w:spacing w:after="0" w:line="254" w:lineRule="auto"/>
        <w:rPr>
          <w:b/>
          <w:bCs/>
          <w:sz w:val="36"/>
          <w:szCs w:val="24"/>
        </w:rPr>
      </w:pPr>
    </w:p>
    <w:p w:rsidR="002A212F" w:rsidRPr="002A212F" w:rsidRDefault="002A212F" w:rsidP="002A212F">
      <w:pPr>
        <w:spacing w:after="0" w:line="254" w:lineRule="auto"/>
        <w:jc w:val="center"/>
        <w:rPr>
          <w:rFonts w:ascii="Times New Roman" w:hAnsi="Times New Roman" w:cs="Times New Roman"/>
          <w:b/>
          <w:bCs/>
          <w:i/>
          <w:sz w:val="72"/>
          <w:szCs w:val="28"/>
        </w:rPr>
      </w:pPr>
      <w:r w:rsidRPr="002A212F">
        <w:rPr>
          <w:rFonts w:ascii="Times New Roman" w:hAnsi="Times New Roman" w:cs="Times New Roman"/>
          <w:b/>
          <w:bCs/>
          <w:i/>
          <w:sz w:val="72"/>
          <w:szCs w:val="28"/>
        </w:rPr>
        <w:t>N°008</w:t>
      </w:r>
    </w:p>
    <w:p w:rsidR="002A212F" w:rsidRPr="002A212F" w:rsidRDefault="002A212F" w:rsidP="002A212F">
      <w:pPr>
        <w:spacing w:after="0" w:line="254" w:lineRule="auto"/>
        <w:jc w:val="center"/>
        <w:rPr>
          <w:rFonts w:ascii="Times New Roman" w:hAnsi="Times New Roman" w:cs="Times New Roman"/>
          <w:b/>
          <w:bCs/>
          <w:i/>
          <w:sz w:val="96"/>
          <w:szCs w:val="28"/>
        </w:rPr>
      </w:pPr>
      <w:r w:rsidRPr="002A212F">
        <w:rPr>
          <w:rFonts w:ascii="Times New Roman" w:hAnsi="Times New Roman" w:cs="Times New Roman"/>
          <w:bCs/>
          <w:sz w:val="24"/>
          <w:szCs w:val="28"/>
        </w:rPr>
        <w:t xml:space="preserve">Enregistré au Secrétariat Central du CNT sous le numéro </w:t>
      </w:r>
      <w:r w:rsidRPr="002A212F">
        <w:rPr>
          <w:rFonts w:ascii="Times New Roman" w:hAnsi="Times New Roman" w:cs="Times New Roman"/>
          <w:b/>
          <w:bCs/>
          <w:sz w:val="24"/>
          <w:szCs w:val="28"/>
        </w:rPr>
        <w:t>1080 du 16 septembre 2024</w:t>
      </w:r>
    </w:p>
    <w:p w:rsidR="002A212F" w:rsidRPr="002A212F" w:rsidRDefault="002A212F" w:rsidP="002A212F">
      <w:pPr>
        <w:spacing w:after="0" w:line="254" w:lineRule="auto"/>
        <w:rPr>
          <w:b/>
          <w:bCs/>
          <w:sz w:val="28"/>
          <w:szCs w:val="28"/>
        </w:rPr>
      </w:pPr>
    </w:p>
    <w:p w:rsidR="002A212F" w:rsidRPr="002A212F" w:rsidRDefault="002A212F" w:rsidP="002A212F">
      <w:pPr>
        <w:spacing w:after="0" w:line="254" w:lineRule="auto"/>
        <w:jc w:val="center"/>
        <w:rPr>
          <w:rFonts w:ascii="Times New Roman" w:hAnsi="Times New Roman" w:cs="Times New Roman"/>
          <w:b/>
          <w:bCs/>
          <w:color w:val="FFFFFF" w:themeColor="background1"/>
          <w:sz w:val="56"/>
          <w:szCs w:val="28"/>
        </w:rPr>
      </w:pPr>
      <w:r w:rsidRPr="002A212F">
        <w:rPr>
          <w:rFonts w:ascii="Times New Roman" w:hAnsi="Times New Roman" w:cs="Times New Roman"/>
          <w:b/>
          <w:bCs/>
          <w:color w:val="FFFFFF" w:themeColor="background1"/>
          <w:sz w:val="56"/>
          <w:szCs w:val="28"/>
          <w:highlight w:val="darkGray"/>
        </w:rPr>
        <w:t>SESSION 2025</w:t>
      </w:r>
    </w:p>
    <w:p w:rsidR="002A212F" w:rsidRPr="002A212F" w:rsidRDefault="002A212F" w:rsidP="002A212F">
      <w:pPr>
        <w:spacing w:after="0" w:line="254" w:lineRule="auto"/>
        <w:jc w:val="center"/>
        <w:rPr>
          <w:b/>
          <w:bCs/>
          <w:sz w:val="28"/>
          <w:szCs w:val="28"/>
        </w:rPr>
      </w:pPr>
    </w:p>
    <w:p w:rsidR="002A212F" w:rsidRPr="002A212F" w:rsidRDefault="002A212F" w:rsidP="002A212F">
      <w:pPr>
        <w:spacing w:after="0" w:line="254" w:lineRule="auto"/>
        <w:jc w:val="center"/>
        <w:rPr>
          <w:rFonts w:ascii="Times New Roman" w:hAnsi="Times New Roman" w:cs="Times New Roman"/>
          <w:b/>
          <w:bCs/>
          <w:sz w:val="52"/>
          <w:szCs w:val="28"/>
        </w:rPr>
      </w:pPr>
      <w:r w:rsidRPr="002A212F">
        <w:rPr>
          <w:rFonts w:ascii="Times New Roman" w:hAnsi="Times New Roman" w:cs="Times New Roman"/>
          <w:b/>
          <w:bCs/>
          <w:sz w:val="52"/>
          <w:szCs w:val="28"/>
        </w:rPr>
        <w:t>RAPPORT</w:t>
      </w:r>
    </w:p>
    <w:p w:rsidR="002A212F" w:rsidRPr="002A212F" w:rsidRDefault="002A212F" w:rsidP="002A212F">
      <w:pPr>
        <w:spacing w:after="0" w:line="254" w:lineRule="auto"/>
        <w:jc w:val="center"/>
        <w:rPr>
          <w:b/>
          <w:bCs/>
          <w:sz w:val="28"/>
          <w:szCs w:val="28"/>
        </w:rPr>
      </w:pPr>
    </w:p>
    <w:p w:rsidR="002A212F" w:rsidRPr="002A212F" w:rsidRDefault="002A212F" w:rsidP="002A212F">
      <w:pPr>
        <w:spacing w:after="0" w:line="254" w:lineRule="auto"/>
        <w:jc w:val="center"/>
        <w:rPr>
          <w:rFonts w:ascii="Times New Roman" w:hAnsi="Times New Roman" w:cs="Times New Roman"/>
          <w:b/>
          <w:bCs/>
          <w:sz w:val="28"/>
          <w:szCs w:val="28"/>
        </w:rPr>
      </w:pPr>
      <w:r w:rsidRPr="002A212F">
        <w:rPr>
          <w:rFonts w:ascii="Times New Roman" w:hAnsi="Times New Roman" w:cs="Times New Roman"/>
          <w:b/>
          <w:bCs/>
          <w:sz w:val="28"/>
          <w:szCs w:val="28"/>
        </w:rPr>
        <w:t>Examen de l’accord GE 06 conclu et signé le 16 Juin 2006 par la République de Guinée</w:t>
      </w:r>
    </w:p>
    <w:p w:rsidR="002A212F" w:rsidRPr="002A212F" w:rsidRDefault="002A212F" w:rsidP="002A212F">
      <w:pPr>
        <w:spacing w:after="0" w:line="254" w:lineRule="auto"/>
        <w:jc w:val="center"/>
        <w:rPr>
          <w:b/>
          <w:bCs/>
          <w:sz w:val="28"/>
          <w:szCs w:val="28"/>
        </w:rPr>
      </w:pPr>
    </w:p>
    <w:p w:rsidR="002A212F" w:rsidRPr="002A212F" w:rsidRDefault="002A212F" w:rsidP="002A212F">
      <w:pPr>
        <w:spacing w:after="0" w:line="254" w:lineRule="auto"/>
        <w:jc w:val="center"/>
        <w:rPr>
          <w:rFonts w:ascii="Times New Roman" w:hAnsi="Times New Roman" w:cs="Times New Roman"/>
          <w:b/>
          <w:bCs/>
          <w:sz w:val="28"/>
          <w:szCs w:val="28"/>
        </w:rPr>
      </w:pPr>
      <w:r w:rsidRPr="002A212F">
        <w:rPr>
          <w:rFonts w:ascii="Times New Roman" w:hAnsi="Times New Roman" w:cs="Times New Roman"/>
          <w:b/>
          <w:bCs/>
          <w:sz w:val="36"/>
          <w:szCs w:val="28"/>
        </w:rPr>
        <w:t>Fait</w:t>
      </w:r>
      <w:r w:rsidRPr="002A212F">
        <w:rPr>
          <w:rFonts w:ascii="Times New Roman" w:hAnsi="Times New Roman" w:cs="Times New Roman"/>
          <w:b/>
          <w:bCs/>
          <w:sz w:val="28"/>
          <w:szCs w:val="28"/>
        </w:rPr>
        <w:t xml:space="preserve"> </w:t>
      </w:r>
    </w:p>
    <w:p w:rsidR="002A212F" w:rsidRPr="002A212F" w:rsidRDefault="002A212F" w:rsidP="002A212F">
      <w:pPr>
        <w:spacing w:after="0" w:line="254" w:lineRule="auto"/>
        <w:jc w:val="center"/>
        <w:rPr>
          <w:rFonts w:ascii="Times New Roman" w:hAnsi="Times New Roman" w:cs="Times New Roman"/>
          <w:b/>
          <w:bCs/>
          <w:sz w:val="28"/>
          <w:szCs w:val="28"/>
        </w:rPr>
      </w:pPr>
      <w:r w:rsidRPr="002A212F">
        <w:rPr>
          <w:rFonts w:ascii="Times New Roman" w:hAnsi="Times New Roman" w:cs="Times New Roman"/>
          <w:b/>
          <w:bCs/>
          <w:sz w:val="28"/>
          <w:szCs w:val="28"/>
        </w:rPr>
        <w:t>Par la commission Affaires Economiques et Développement Durable</w:t>
      </w:r>
    </w:p>
    <w:p w:rsidR="002A212F" w:rsidRPr="002A212F" w:rsidRDefault="002A212F" w:rsidP="002A212F">
      <w:pPr>
        <w:spacing w:after="0" w:line="254" w:lineRule="auto"/>
        <w:jc w:val="center"/>
        <w:rPr>
          <w:b/>
          <w:bCs/>
          <w:sz w:val="28"/>
          <w:szCs w:val="28"/>
        </w:rPr>
      </w:pPr>
    </w:p>
    <w:p w:rsidR="002A212F" w:rsidRPr="002A212F" w:rsidRDefault="002A212F" w:rsidP="002A212F">
      <w:pPr>
        <w:spacing w:after="0" w:line="254" w:lineRule="auto"/>
        <w:jc w:val="center"/>
        <w:rPr>
          <w:b/>
          <w:bCs/>
          <w:sz w:val="28"/>
          <w:szCs w:val="28"/>
        </w:rPr>
      </w:pPr>
    </w:p>
    <w:p w:rsidR="002A212F" w:rsidRPr="002A212F" w:rsidRDefault="002A212F" w:rsidP="002A212F">
      <w:pPr>
        <w:spacing w:after="0" w:line="254" w:lineRule="auto"/>
        <w:rPr>
          <w:rFonts w:ascii="Times New Roman" w:hAnsi="Times New Roman" w:cs="Times New Roman"/>
          <w:b/>
          <w:bCs/>
          <w:sz w:val="28"/>
          <w:szCs w:val="28"/>
        </w:rPr>
      </w:pPr>
      <w:r w:rsidRPr="002A212F">
        <w:rPr>
          <w:rFonts w:ascii="Times New Roman" w:hAnsi="Times New Roman" w:cs="Times New Roman"/>
          <w:b/>
          <w:bCs/>
          <w:sz w:val="28"/>
          <w:szCs w:val="28"/>
        </w:rPr>
        <w:t xml:space="preserve">Présenté : par Honorable Bangaly Cherif </w:t>
      </w:r>
    </w:p>
    <w:p w:rsidR="002A212F" w:rsidRPr="002A212F" w:rsidRDefault="002A212F" w:rsidP="002A212F">
      <w:pPr>
        <w:spacing w:after="0" w:line="254" w:lineRule="auto"/>
        <w:jc w:val="center"/>
        <w:rPr>
          <w:b/>
          <w:bCs/>
          <w:sz w:val="28"/>
          <w:szCs w:val="28"/>
        </w:rPr>
      </w:pPr>
    </w:p>
    <w:p w:rsidR="002A212F" w:rsidRPr="002A212F" w:rsidRDefault="002A212F" w:rsidP="002A212F">
      <w:pPr>
        <w:spacing w:after="0" w:line="254" w:lineRule="auto"/>
        <w:jc w:val="center"/>
        <w:rPr>
          <w:b/>
          <w:sz w:val="28"/>
          <w:szCs w:val="28"/>
        </w:rPr>
      </w:pPr>
    </w:p>
    <w:p w:rsidR="002A212F" w:rsidRPr="002A212F" w:rsidRDefault="002A212F" w:rsidP="002A212F">
      <w:pPr>
        <w:spacing w:line="254" w:lineRule="auto"/>
        <w:jc w:val="right"/>
        <w:rPr>
          <w:rFonts w:ascii="Times New Roman" w:hAnsi="Times New Roman" w:cs="Times New Roman"/>
          <w:b/>
        </w:rPr>
      </w:pPr>
      <w:r w:rsidRPr="002A212F">
        <w:rPr>
          <w:rFonts w:ascii="Times New Roman" w:hAnsi="Times New Roman" w:cs="Times New Roman"/>
          <w:b/>
        </w:rPr>
        <w:t>Février 2025</w:t>
      </w:r>
    </w:p>
    <w:p w:rsidR="002A212F" w:rsidRDefault="002A212F">
      <w:pPr>
        <w:rPr>
          <w:sz w:val="28"/>
          <w:szCs w:val="28"/>
        </w:rPr>
      </w:pPr>
      <w:r>
        <w:rPr>
          <w:sz w:val="28"/>
          <w:szCs w:val="28"/>
        </w:rPr>
        <w:br w:type="page"/>
      </w:r>
    </w:p>
    <w:p w:rsidR="00A92BEC" w:rsidRPr="00DA2FB5" w:rsidRDefault="00A92BEC" w:rsidP="00A92BEC">
      <w:pPr>
        <w:jc w:val="center"/>
        <w:rPr>
          <w:sz w:val="28"/>
          <w:szCs w:val="28"/>
        </w:rPr>
      </w:pPr>
      <w:r w:rsidRPr="00DA2FB5">
        <w:rPr>
          <w:noProof/>
          <w:sz w:val="28"/>
          <w:szCs w:val="28"/>
          <w:lang w:eastAsia="fr-FR"/>
        </w:rPr>
        <w:lastRenderedPageBreak/>
        <w:drawing>
          <wp:inline distT="0" distB="0" distL="0" distR="0" wp14:anchorId="77917DC6" wp14:editId="23930EC4">
            <wp:extent cx="1318260" cy="885825"/>
            <wp:effectExtent l="0" t="0" r="0" b="9525"/>
            <wp:docPr id="3" name="Image 3" descr="C:\Users\Hafiziou Barry\AppData\Local\Microsoft\Windows\INetCache\Content.MSO\7AE3D1BA.tmp"/>
            <wp:cNvGraphicFramePr/>
            <a:graphic xmlns:a="http://schemas.openxmlformats.org/drawingml/2006/main">
              <a:graphicData uri="http://schemas.openxmlformats.org/drawingml/2006/picture">
                <pic:pic xmlns:pic="http://schemas.openxmlformats.org/drawingml/2006/picture">
                  <pic:nvPicPr>
                    <pic:cNvPr id="1" name="Image 1" descr="C:\Users\Hafiziou Barry\AppData\Local\Microsoft\Windows\INetCache\Content.MSO\7AE3D1BA.tmp"/>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8260" cy="885825"/>
                    </a:xfrm>
                    <a:prstGeom prst="rect">
                      <a:avLst/>
                    </a:prstGeom>
                    <a:noFill/>
                    <a:ln>
                      <a:noFill/>
                    </a:ln>
                  </pic:spPr>
                </pic:pic>
              </a:graphicData>
            </a:graphic>
          </wp:inline>
        </w:drawing>
      </w:r>
    </w:p>
    <w:p w:rsidR="00A92BEC" w:rsidRPr="00DA2FB5" w:rsidRDefault="00A92BEC" w:rsidP="00A92BEC">
      <w:pPr>
        <w:spacing w:after="0" w:line="240" w:lineRule="auto"/>
        <w:jc w:val="center"/>
        <w:textAlignment w:val="baseline"/>
        <w:rPr>
          <w:rFonts w:ascii="Segoe UI" w:eastAsia="Times New Roman" w:hAnsi="Segoe UI" w:cs="Segoe UI"/>
          <w:sz w:val="28"/>
          <w:szCs w:val="28"/>
        </w:rPr>
      </w:pPr>
      <w:r w:rsidRPr="00DA2FB5">
        <w:rPr>
          <w:sz w:val="28"/>
          <w:szCs w:val="28"/>
        </w:rPr>
        <w:tab/>
      </w:r>
      <w:r w:rsidRPr="00DA2FB5">
        <w:rPr>
          <w:rFonts w:ascii="Century Gothic" w:eastAsia="Times New Roman" w:hAnsi="Century Gothic" w:cs="Segoe UI"/>
          <w:b/>
          <w:bCs/>
          <w:sz w:val="28"/>
          <w:szCs w:val="28"/>
        </w:rPr>
        <w:t>Conseil National de la Transition</w:t>
      </w:r>
      <w:r w:rsidRPr="00DA2FB5">
        <w:rPr>
          <w:rFonts w:ascii="Century Gothic" w:eastAsia="Times New Roman" w:hAnsi="Century Gothic" w:cs="Segoe UI"/>
          <w:sz w:val="28"/>
          <w:szCs w:val="28"/>
        </w:rPr>
        <w:t> </w:t>
      </w:r>
    </w:p>
    <w:p w:rsidR="00DC56D2" w:rsidRPr="00DC56D2" w:rsidRDefault="00A92BEC" w:rsidP="00DC56D2">
      <w:pPr>
        <w:pBdr>
          <w:bottom w:val="single" w:sz="4" w:space="1" w:color="auto"/>
        </w:pBdr>
        <w:spacing w:after="0" w:line="240" w:lineRule="auto"/>
        <w:jc w:val="center"/>
        <w:textAlignment w:val="baseline"/>
        <w:rPr>
          <w:rFonts w:ascii="Segoe UI" w:eastAsia="Times New Roman" w:hAnsi="Segoe UI" w:cs="Segoe UI"/>
          <w:sz w:val="28"/>
          <w:szCs w:val="28"/>
        </w:rPr>
      </w:pPr>
      <w:r w:rsidRPr="00DA2FB5">
        <w:rPr>
          <w:rFonts w:ascii="Century Gothic" w:eastAsia="Times New Roman" w:hAnsi="Century Gothic" w:cs="Segoe UI"/>
          <w:b/>
          <w:bCs/>
          <w:sz w:val="28"/>
          <w:szCs w:val="28"/>
        </w:rPr>
        <w:t>Commission des Affaires Economiques et du Développement Durable</w:t>
      </w:r>
      <w:r w:rsidRPr="00DA2FB5">
        <w:rPr>
          <w:rFonts w:ascii="Century Gothic" w:eastAsia="Times New Roman" w:hAnsi="Century Gothic" w:cs="Segoe UI"/>
          <w:sz w:val="28"/>
          <w:szCs w:val="28"/>
        </w:rPr>
        <w:t> </w:t>
      </w:r>
    </w:p>
    <w:p w:rsidR="00DC56D2" w:rsidRDefault="00DC56D2" w:rsidP="00DC56D2">
      <w:pPr>
        <w:pStyle w:val="Paragraphedeliste"/>
        <w:tabs>
          <w:tab w:val="left" w:pos="2328"/>
        </w:tabs>
        <w:rPr>
          <w:b/>
          <w:sz w:val="28"/>
          <w:szCs w:val="28"/>
        </w:rPr>
      </w:pPr>
      <w:bookmarkStart w:id="0" w:name="_GoBack"/>
      <w:bookmarkEnd w:id="0"/>
    </w:p>
    <w:p w:rsidR="00A92BEC" w:rsidRPr="001770E1" w:rsidRDefault="00A92BEC" w:rsidP="001770E1">
      <w:pPr>
        <w:pStyle w:val="Paragraphedeliste"/>
        <w:numPr>
          <w:ilvl w:val="0"/>
          <w:numId w:val="6"/>
        </w:numPr>
        <w:tabs>
          <w:tab w:val="left" w:pos="2328"/>
        </w:tabs>
        <w:rPr>
          <w:b/>
          <w:sz w:val="28"/>
          <w:szCs w:val="28"/>
        </w:rPr>
      </w:pPr>
      <w:r w:rsidRPr="001770E1">
        <w:rPr>
          <w:b/>
          <w:sz w:val="28"/>
          <w:szCs w:val="28"/>
        </w:rPr>
        <w:t>Honorable Président du Conseil National de la Transition (CNT) ;</w:t>
      </w:r>
    </w:p>
    <w:p w:rsidR="005C37D8" w:rsidRPr="001770E1" w:rsidRDefault="005C37D8" w:rsidP="001770E1">
      <w:pPr>
        <w:pStyle w:val="Paragraphedeliste"/>
        <w:numPr>
          <w:ilvl w:val="0"/>
          <w:numId w:val="6"/>
        </w:numPr>
        <w:tabs>
          <w:tab w:val="left" w:pos="2328"/>
        </w:tabs>
        <w:rPr>
          <w:b/>
          <w:sz w:val="28"/>
          <w:szCs w:val="28"/>
        </w:rPr>
      </w:pPr>
      <w:r w:rsidRPr="001770E1">
        <w:rPr>
          <w:b/>
          <w:sz w:val="28"/>
          <w:szCs w:val="28"/>
        </w:rPr>
        <w:t>Mesdames et messieurs les représentants du CNRD ;</w:t>
      </w:r>
    </w:p>
    <w:p w:rsidR="00493C3C" w:rsidRPr="001770E1" w:rsidRDefault="00493C3C" w:rsidP="001770E1">
      <w:pPr>
        <w:pStyle w:val="Paragraphedeliste"/>
        <w:numPr>
          <w:ilvl w:val="0"/>
          <w:numId w:val="6"/>
        </w:numPr>
        <w:tabs>
          <w:tab w:val="left" w:pos="2328"/>
        </w:tabs>
        <w:rPr>
          <w:b/>
          <w:sz w:val="28"/>
          <w:szCs w:val="28"/>
        </w:rPr>
      </w:pPr>
      <w:r w:rsidRPr="001770E1">
        <w:rPr>
          <w:b/>
          <w:sz w:val="28"/>
          <w:szCs w:val="28"/>
        </w:rPr>
        <w:t xml:space="preserve">Monsieur le Premier Ministre chef du Gouvernement ; </w:t>
      </w:r>
    </w:p>
    <w:p w:rsidR="00B93289" w:rsidRPr="001770E1" w:rsidRDefault="00B93289" w:rsidP="001770E1">
      <w:pPr>
        <w:pStyle w:val="Paragraphedeliste"/>
        <w:numPr>
          <w:ilvl w:val="0"/>
          <w:numId w:val="6"/>
        </w:numPr>
        <w:tabs>
          <w:tab w:val="left" w:pos="2328"/>
        </w:tabs>
        <w:rPr>
          <w:b/>
          <w:sz w:val="28"/>
          <w:szCs w:val="28"/>
        </w:rPr>
      </w:pPr>
      <w:r w:rsidRPr="001770E1">
        <w:rPr>
          <w:b/>
          <w:sz w:val="28"/>
          <w:szCs w:val="28"/>
        </w:rPr>
        <w:t>Mesdames et messieurs le</w:t>
      </w:r>
      <w:r w:rsidR="006041E9">
        <w:rPr>
          <w:b/>
          <w:sz w:val="28"/>
          <w:szCs w:val="28"/>
        </w:rPr>
        <w:t>s</w:t>
      </w:r>
      <w:r w:rsidRPr="001770E1">
        <w:rPr>
          <w:b/>
          <w:sz w:val="28"/>
          <w:szCs w:val="28"/>
        </w:rPr>
        <w:t xml:space="preserve"> représentant</w:t>
      </w:r>
      <w:r w:rsidR="006041E9">
        <w:rPr>
          <w:b/>
          <w:sz w:val="28"/>
          <w:szCs w:val="28"/>
        </w:rPr>
        <w:t>s</w:t>
      </w:r>
      <w:r w:rsidRPr="001770E1">
        <w:rPr>
          <w:b/>
          <w:sz w:val="28"/>
          <w:szCs w:val="28"/>
        </w:rPr>
        <w:t xml:space="preserve"> des institutions républicaines ; </w:t>
      </w:r>
    </w:p>
    <w:p w:rsidR="001770E1" w:rsidRDefault="00493C3C" w:rsidP="006F571E">
      <w:pPr>
        <w:pStyle w:val="Paragraphedeliste"/>
        <w:numPr>
          <w:ilvl w:val="0"/>
          <w:numId w:val="6"/>
        </w:numPr>
        <w:tabs>
          <w:tab w:val="left" w:pos="2328"/>
        </w:tabs>
        <w:spacing w:after="0"/>
        <w:rPr>
          <w:b/>
          <w:sz w:val="28"/>
          <w:szCs w:val="28"/>
        </w:rPr>
      </w:pPr>
      <w:r w:rsidRPr="001770E1">
        <w:rPr>
          <w:b/>
          <w:sz w:val="28"/>
          <w:szCs w:val="28"/>
        </w:rPr>
        <w:t>Monsieur le Conseiller du Président de la République chargé des</w:t>
      </w:r>
    </w:p>
    <w:p w:rsidR="00493C3C" w:rsidRPr="001770E1" w:rsidRDefault="00493C3C" w:rsidP="006F571E">
      <w:pPr>
        <w:tabs>
          <w:tab w:val="left" w:pos="2328"/>
        </w:tabs>
        <w:spacing w:after="0"/>
        <w:ind w:left="360"/>
        <w:rPr>
          <w:b/>
          <w:sz w:val="28"/>
          <w:szCs w:val="28"/>
        </w:rPr>
      </w:pPr>
      <w:r w:rsidRPr="001770E1">
        <w:rPr>
          <w:b/>
          <w:sz w:val="28"/>
          <w:szCs w:val="28"/>
        </w:rPr>
        <w:t>Relation</w:t>
      </w:r>
      <w:r w:rsidR="006F571E">
        <w:rPr>
          <w:b/>
          <w:sz w:val="28"/>
          <w:szCs w:val="28"/>
        </w:rPr>
        <w:t>s</w:t>
      </w:r>
      <w:r w:rsidRPr="001770E1">
        <w:rPr>
          <w:b/>
          <w:sz w:val="28"/>
          <w:szCs w:val="28"/>
        </w:rPr>
        <w:t xml:space="preserve"> avec les Institution</w:t>
      </w:r>
      <w:r w:rsidR="006F571E">
        <w:rPr>
          <w:b/>
          <w:sz w:val="28"/>
          <w:szCs w:val="28"/>
        </w:rPr>
        <w:t>s</w:t>
      </w:r>
      <w:r w:rsidRPr="001770E1">
        <w:rPr>
          <w:b/>
          <w:sz w:val="28"/>
          <w:szCs w:val="28"/>
        </w:rPr>
        <w:t xml:space="preserve"> Républicaine</w:t>
      </w:r>
      <w:r w:rsidR="006F571E">
        <w:rPr>
          <w:b/>
          <w:sz w:val="28"/>
          <w:szCs w:val="28"/>
        </w:rPr>
        <w:t>s</w:t>
      </w:r>
      <w:r w:rsidRPr="001770E1">
        <w:rPr>
          <w:b/>
          <w:sz w:val="28"/>
          <w:szCs w:val="28"/>
        </w:rPr>
        <w:t xml:space="preserve"> ; </w:t>
      </w:r>
    </w:p>
    <w:p w:rsidR="000755D1" w:rsidRPr="001770E1" w:rsidRDefault="00493C3C" w:rsidP="001770E1">
      <w:pPr>
        <w:pStyle w:val="Paragraphedeliste"/>
        <w:numPr>
          <w:ilvl w:val="0"/>
          <w:numId w:val="6"/>
        </w:numPr>
        <w:tabs>
          <w:tab w:val="left" w:pos="2328"/>
        </w:tabs>
        <w:rPr>
          <w:b/>
          <w:sz w:val="28"/>
          <w:szCs w:val="28"/>
        </w:rPr>
      </w:pPr>
      <w:r w:rsidRPr="001770E1">
        <w:rPr>
          <w:b/>
          <w:sz w:val="28"/>
          <w:szCs w:val="28"/>
        </w:rPr>
        <w:t xml:space="preserve">Mesdames et </w:t>
      </w:r>
      <w:r w:rsidR="001770E1" w:rsidRPr="001770E1">
        <w:rPr>
          <w:b/>
          <w:sz w:val="28"/>
          <w:szCs w:val="28"/>
        </w:rPr>
        <w:t>M</w:t>
      </w:r>
      <w:r w:rsidR="005C37D8" w:rsidRPr="001770E1">
        <w:rPr>
          <w:b/>
          <w:sz w:val="28"/>
          <w:szCs w:val="28"/>
        </w:rPr>
        <w:t xml:space="preserve">essieurs les </w:t>
      </w:r>
      <w:r w:rsidR="001770E1" w:rsidRPr="001770E1">
        <w:rPr>
          <w:b/>
          <w:sz w:val="28"/>
          <w:szCs w:val="28"/>
        </w:rPr>
        <w:t>membres du Gouvernement</w:t>
      </w:r>
      <w:r w:rsidR="005C37D8" w:rsidRPr="001770E1">
        <w:rPr>
          <w:b/>
          <w:sz w:val="28"/>
          <w:szCs w:val="28"/>
        </w:rPr>
        <w:t> ;</w:t>
      </w:r>
    </w:p>
    <w:p w:rsidR="00A92BEC" w:rsidRPr="001770E1" w:rsidRDefault="00A92BEC" w:rsidP="001770E1">
      <w:pPr>
        <w:pStyle w:val="Paragraphedeliste"/>
        <w:numPr>
          <w:ilvl w:val="0"/>
          <w:numId w:val="6"/>
        </w:numPr>
        <w:tabs>
          <w:tab w:val="left" w:pos="2328"/>
        </w:tabs>
        <w:rPr>
          <w:b/>
          <w:sz w:val="28"/>
          <w:szCs w:val="28"/>
        </w:rPr>
      </w:pPr>
      <w:r w:rsidRPr="001770E1">
        <w:rPr>
          <w:b/>
          <w:sz w:val="28"/>
          <w:szCs w:val="28"/>
        </w:rPr>
        <w:t>Honorables conseillers nationaux ;</w:t>
      </w:r>
    </w:p>
    <w:p w:rsidR="00A92BEC" w:rsidRPr="001770E1" w:rsidRDefault="001770E1" w:rsidP="001770E1">
      <w:pPr>
        <w:pStyle w:val="Paragraphedeliste"/>
        <w:numPr>
          <w:ilvl w:val="0"/>
          <w:numId w:val="6"/>
        </w:numPr>
        <w:tabs>
          <w:tab w:val="left" w:pos="2328"/>
        </w:tabs>
        <w:rPr>
          <w:b/>
          <w:sz w:val="28"/>
          <w:szCs w:val="28"/>
        </w:rPr>
      </w:pPr>
      <w:r w:rsidRPr="001770E1">
        <w:rPr>
          <w:b/>
          <w:sz w:val="28"/>
          <w:szCs w:val="28"/>
        </w:rPr>
        <w:t>Madame la Gouverneure de Conakry :</w:t>
      </w:r>
    </w:p>
    <w:p w:rsidR="001770E1" w:rsidRPr="001770E1" w:rsidRDefault="001770E1" w:rsidP="001770E1">
      <w:pPr>
        <w:pStyle w:val="Paragraphedeliste"/>
        <w:numPr>
          <w:ilvl w:val="0"/>
          <w:numId w:val="6"/>
        </w:numPr>
        <w:tabs>
          <w:tab w:val="left" w:pos="2328"/>
        </w:tabs>
        <w:rPr>
          <w:b/>
          <w:sz w:val="28"/>
          <w:szCs w:val="28"/>
        </w:rPr>
      </w:pPr>
      <w:r w:rsidRPr="001770E1">
        <w:rPr>
          <w:b/>
          <w:sz w:val="28"/>
          <w:szCs w:val="28"/>
        </w:rPr>
        <w:t>Les chefs des missions diplomatiques, consulaires et organisations internationales accrédités en République de Guinée ;</w:t>
      </w:r>
    </w:p>
    <w:p w:rsidR="00A92BEC" w:rsidRPr="001770E1" w:rsidRDefault="00A92BEC" w:rsidP="001770E1">
      <w:pPr>
        <w:pStyle w:val="Paragraphedeliste"/>
        <w:numPr>
          <w:ilvl w:val="0"/>
          <w:numId w:val="6"/>
        </w:numPr>
        <w:tabs>
          <w:tab w:val="left" w:pos="2328"/>
        </w:tabs>
        <w:rPr>
          <w:b/>
          <w:sz w:val="28"/>
          <w:szCs w:val="28"/>
        </w:rPr>
      </w:pPr>
      <w:r w:rsidRPr="001770E1">
        <w:rPr>
          <w:b/>
          <w:sz w:val="28"/>
          <w:szCs w:val="28"/>
        </w:rPr>
        <w:t>Mesdames et messieurs de l’administration parlementaire ;</w:t>
      </w:r>
    </w:p>
    <w:p w:rsidR="00A92BEC" w:rsidRPr="001770E1" w:rsidRDefault="00A92BEC" w:rsidP="001770E1">
      <w:pPr>
        <w:pStyle w:val="Paragraphedeliste"/>
        <w:numPr>
          <w:ilvl w:val="0"/>
          <w:numId w:val="6"/>
        </w:numPr>
        <w:tabs>
          <w:tab w:val="left" w:pos="2328"/>
        </w:tabs>
        <w:rPr>
          <w:b/>
          <w:sz w:val="28"/>
          <w:szCs w:val="28"/>
        </w:rPr>
      </w:pPr>
      <w:r w:rsidRPr="001770E1">
        <w:rPr>
          <w:b/>
          <w:sz w:val="28"/>
          <w:szCs w:val="28"/>
        </w:rPr>
        <w:t>Mesdames et messieurs en vos qualités, rangs, grades tout protocole observé.</w:t>
      </w:r>
    </w:p>
    <w:p w:rsidR="00C578DB" w:rsidRPr="00DA2FB5" w:rsidRDefault="00101036" w:rsidP="00C578DB">
      <w:pPr>
        <w:tabs>
          <w:tab w:val="left" w:pos="2328"/>
        </w:tabs>
        <w:spacing w:after="0"/>
        <w:rPr>
          <w:color w:val="000000" w:themeColor="text1"/>
          <w:sz w:val="28"/>
          <w:szCs w:val="28"/>
        </w:rPr>
      </w:pPr>
      <w:r w:rsidRPr="00DA2FB5">
        <w:rPr>
          <w:color w:val="000000" w:themeColor="text1"/>
          <w:sz w:val="28"/>
          <w:szCs w:val="28"/>
        </w:rPr>
        <w:t xml:space="preserve">Suite au </w:t>
      </w:r>
      <w:r w:rsidR="004C54C3" w:rsidRPr="00DA2FB5">
        <w:rPr>
          <w:color w:val="000000" w:themeColor="text1"/>
          <w:sz w:val="28"/>
          <w:szCs w:val="28"/>
        </w:rPr>
        <w:t>courrier</w:t>
      </w:r>
      <w:r w:rsidR="009A4963" w:rsidRPr="00DA2FB5">
        <w:rPr>
          <w:color w:val="C00000"/>
          <w:sz w:val="28"/>
          <w:szCs w:val="28"/>
        </w:rPr>
        <w:t xml:space="preserve"> </w:t>
      </w:r>
      <w:r w:rsidR="00FB2976" w:rsidRPr="00DA2FB5">
        <w:rPr>
          <w:color w:val="000000" w:themeColor="text1"/>
          <w:sz w:val="28"/>
          <w:szCs w:val="28"/>
        </w:rPr>
        <w:t xml:space="preserve">du gouvernement </w:t>
      </w:r>
      <w:r w:rsidR="005C37D8" w:rsidRPr="00DA2FB5">
        <w:rPr>
          <w:color w:val="000000" w:themeColor="text1"/>
          <w:sz w:val="28"/>
          <w:szCs w:val="28"/>
        </w:rPr>
        <w:t>numéro</w:t>
      </w:r>
      <w:r w:rsidR="009A4963" w:rsidRPr="00DA2FB5">
        <w:rPr>
          <w:color w:val="000000" w:themeColor="text1"/>
          <w:sz w:val="28"/>
          <w:szCs w:val="28"/>
        </w:rPr>
        <w:t> </w:t>
      </w:r>
      <w:r w:rsidR="00FB2976" w:rsidRPr="00DA2FB5">
        <w:rPr>
          <w:color w:val="000000" w:themeColor="text1"/>
          <w:sz w:val="28"/>
          <w:szCs w:val="28"/>
        </w:rPr>
        <w:t>1080 du 16 septembre 2024</w:t>
      </w:r>
      <w:r w:rsidR="009A4963" w:rsidRPr="00DA2FB5">
        <w:rPr>
          <w:color w:val="000000" w:themeColor="text1"/>
          <w:sz w:val="28"/>
          <w:szCs w:val="28"/>
        </w:rPr>
        <w:t xml:space="preserve"> </w:t>
      </w:r>
      <w:r w:rsidR="005C37D8" w:rsidRPr="00DA2FB5">
        <w:rPr>
          <w:color w:val="000000" w:themeColor="text1"/>
          <w:sz w:val="28"/>
          <w:szCs w:val="28"/>
        </w:rPr>
        <w:t>adressé</w:t>
      </w:r>
      <w:r w:rsidR="009A4963" w:rsidRPr="00DA2FB5">
        <w:rPr>
          <w:color w:val="000000" w:themeColor="text1"/>
          <w:sz w:val="28"/>
          <w:szCs w:val="28"/>
        </w:rPr>
        <w:t xml:space="preserve"> au </w:t>
      </w:r>
      <w:r w:rsidR="005C37D8" w:rsidRPr="00DA2FB5">
        <w:rPr>
          <w:color w:val="000000" w:themeColor="text1"/>
          <w:sz w:val="28"/>
          <w:szCs w:val="28"/>
        </w:rPr>
        <w:t>président</w:t>
      </w:r>
      <w:r w:rsidR="009A4963" w:rsidRPr="00DA2FB5">
        <w:rPr>
          <w:color w:val="000000" w:themeColor="text1"/>
          <w:sz w:val="28"/>
          <w:szCs w:val="28"/>
        </w:rPr>
        <w:t xml:space="preserve"> du CNT </w:t>
      </w:r>
      <w:r w:rsidR="004C54C3" w:rsidRPr="00DA2FB5">
        <w:rPr>
          <w:color w:val="000000" w:themeColor="text1"/>
          <w:sz w:val="28"/>
          <w:szCs w:val="28"/>
        </w:rPr>
        <w:t>pour la ratification de l’accord Régional GE 06</w:t>
      </w:r>
      <w:r w:rsidR="00FB2976" w:rsidRPr="00DA2FB5">
        <w:rPr>
          <w:color w:val="000000" w:themeColor="text1"/>
          <w:sz w:val="28"/>
          <w:szCs w:val="28"/>
        </w:rPr>
        <w:t>,</w:t>
      </w:r>
      <w:r w:rsidR="004C54C3" w:rsidRPr="00DA2FB5">
        <w:rPr>
          <w:color w:val="000000" w:themeColor="text1"/>
          <w:sz w:val="28"/>
          <w:szCs w:val="28"/>
        </w:rPr>
        <w:t xml:space="preserve"> La Conférence des Présidents a saisi au fond la Commission Affaires Economiques et Développement Durable</w:t>
      </w:r>
      <w:r w:rsidR="00C578DB" w:rsidRPr="00DA2FB5">
        <w:rPr>
          <w:color w:val="000000" w:themeColor="text1"/>
          <w:sz w:val="28"/>
          <w:szCs w:val="28"/>
        </w:rPr>
        <w:t xml:space="preserve"> et pour avis la Commission Affaires Etrangères, des Guinéens de l’étranger et  de la Coopération internationale afin d’examiner l’accord régional GE 06 conclu et signé par la République de Guinée le 16 juin 2006. </w:t>
      </w:r>
    </w:p>
    <w:p w:rsidR="00C578DB" w:rsidRPr="00DA2FB5" w:rsidRDefault="00C578DB" w:rsidP="00C578DB">
      <w:pPr>
        <w:tabs>
          <w:tab w:val="left" w:pos="2328"/>
        </w:tabs>
        <w:spacing w:after="0"/>
        <w:rPr>
          <w:color w:val="000000" w:themeColor="text1"/>
          <w:sz w:val="28"/>
          <w:szCs w:val="28"/>
        </w:rPr>
      </w:pPr>
      <w:r w:rsidRPr="00DA2FB5">
        <w:rPr>
          <w:color w:val="000000" w:themeColor="text1"/>
          <w:sz w:val="28"/>
          <w:szCs w:val="28"/>
        </w:rPr>
        <w:t xml:space="preserve">Conformément </w:t>
      </w:r>
      <w:r w:rsidR="009A4963" w:rsidRPr="00DA2FB5">
        <w:rPr>
          <w:color w:val="000000" w:themeColor="text1"/>
          <w:sz w:val="28"/>
          <w:szCs w:val="28"/>
        </w:rPr>
        <w:t xml:space="preserve"> au chronogramme établi par la commission de fond </w:t>
      </w:r>
      <w:r w:rsidRPr="00DA2FB5">
        <w:rPr>
          <w:color w:val="000000" w:themeColor="text1"/>
          <w:sz w:val="28"/>
          <w:szCs w:val="28"/>
        </w:rPr>
        <w:t xml:space="preserve"> pour </w:t>
      </w:r>
      <w:r w:rsidR="009A4963" w:rsidRPr="00DA2FB5">
        <w:rPr>
          <w:color w:val="000000" w:themeColor="text1"/>
          <w:sz w:val="28"/>
          <w:szCs w:val="28"/>
        </w:rPr>
        <w:t>l’examen dudit  a</w:t>
      </w:r>
      <w:r w:rsidRPr="00DA2FB5">
        <w:rPr>
          <w:color w:val="000000" w:themeColor="text1"/>
          <w:sz w:val="28"/>
          <w:szCs w:val="28"/>
        </w:rPr>
        <w:t>ccord</w:t>
      </w:r>
      <w:r w:rsidR="009A4963" w:rsidRPr="00DA2FB5">
        <w:rPr>
          <w:color w:val="000000" w:themeColor="text1"/>
          <w:sz w:val="28"/>
          <w:szCs w:val="28"/>
        </w:rPr>
        <w:t xml:space="preserve">, les travaux se sont déroulés comme suit </w:t>
      </w:r>
      <w:r w:rsidRPr="00DA2FB5">
        <w:rPr>
          <w:color w:val="000000" w:themeColor="text1"/>
          <w:sz w:val="28"/>
          <w:szCs w:val="28"/>
        </w:rPr>
        <w:t>:</w:t>
      </w:r>
    </w:p>
    <w:p w:rsidR="00101036" w:rsidRPr="00DA2FB5" w:rsidRDefault="00C578DB" w:rsidP="00A92BEC">
      <w:pPr>
        <w:tabs>
          <w:tab w:val="left" w:pos="2328"/>
        </w:tabs>
        <w:rPr>
          <w:color w:val="000000" w:themeColor="text1"/>
          <w:sz w:val="28"/>
          <w:szCs w:val="28"/>
        </w:rPr>
      </w:pPr>
      <w:r w:rsidRPr="00DA2FB5">
        <w:rPr>
          <w:color w:val="000000" w:themeColor="text1"/>
          <w:sz w:val="28"/>
          <w:szCs w:val="28"/>
        </w:rPr>
        <w:t xml:space="preserve">  </w:t>
      </w:r>
      <w:r w:rsidR="004C54C3" w:rsidRPr="00DA2FB5">
        <w:rPr>
          <w:color w:val="000000" w:themeColor="text1"/>
          <w:sz w:val="28"/>
          <w:szCs w:val="28"/>
        </w:rPr>
        <w:t xml:space="preserve">  </w:t>
      </w:r>
    </w:p>
    <w:p w:rsidR="00A92BEC" w:rsidRPr="00DA2FB5" w:rsidRDefault="00A92BEC" w:rsidP="002151F2">
      <w:pPr>
        <w:pStyle w:val="Paragraphedeliste"/>
        <w:numPr>
          <w:ilvl w:val="0"/>
          <w:numId w:val="5"/>
        </w:numPr>
        <w:tabs>
          <w:tab w:val="left" w:pos="2328"/>
        </w:tabs>
        <w:spacing w:line="240" w:lineRule="auto"/>
        <w:rPr>
          <w:sz w:val="28"/>
          <w:szCs w:val="28"/>
        </w:rPr>
      </w:pPr>
      <w:r w:rsidRPr="00DA2FB5">
        <w:rPr>
          <w:sz w:val="28"/>
          <w:szCs w:val="28"/>
        </w:rPr>
        <w:t>Les 20 et 30 janvier 2025 en commission et avec les cadres des deux départements</w:t>
      </w:r>
      <w:r w:rsidRPr="00DA2FB5">
        <w:rPr>
          <w:color w:val="FF0000"/>
          <w:sz w:val="28"/>
          <w:szCs w:val="28"/>
        </w:rPr>
        <w:t xml:space="preserve"> </w:t>
      </w:r>
      <w:r w:rsidRPr="00DA2FB5">
        <w:rPr>
          <w:sz w:val="28"/>
          <w:szCs w:val="28"/>
        </w:rPr>
        <w:t>concernés (ministères des télécommunications et de l’économie numérique et le ministère de l’information et de la communication) ;</w:t>
      </w:r>
    </w:p>
    <w:p w:rsidR="002151F2" w:rsidRPr="00DA2FB5" w:rsidRDefault="002151F2" w:rsidP="002151F2">
      <w:pPr>
        <w:pStyle w:val="Paragraphedeliste"/>
        <w:tabs>
          <w:tab w:val="left" w:pos="2328"/>
        </w:tabs>
        <w:spacing w:line="240" w:lineRule="auto"/>
        <w:rPr>
          <w:sz w:val="28"/>
          <w:szCs w:val="28"/>
        </w:rPr>
      </w:pPr>
    </w:p>
    <w:p w:rsidR="00790A1D" w:rsidRPr="00E91D47" w:rsidRDefault="00A92BEC" w:rsidP="00790A1D">
      <w:pPr>
        <w:pStyle w:val="Paragraphedeliste"/>
        <w:numPr>
          <w:ilvl w:val="0"/>
          <w:numId w:val="5"/>
        </w:numPr>
        <w:tabs>
          <w:tab w:val="left" w:pos="2328"/>
        </w:tabs>
        <w:spacing w:line="360" w:lineRule="auto"/>
        <w:rPr>
          <w:sz w:val="28"/>
          <w:szCs w:val="28"/>
        </w:rPr>
      </w:pPr>
      <w:r w:rsidRPr="00DA2FB5">
        <w:rPr>
          <w:sz w:val="28"/>
          <w:szCs w:val="28"/>
        </w:rPr>
        <w:t xml:space="preserve">Et </w:t>
      </w:r>
      <w:r w:rsidR="00E91D47">
        <w:rPr>
          <w:sz w:val="28"/>
          <w:szCs w:val="28"/>
        </w:rPr>
        <w:t>le 04 février 2025 en intercom.</w:t>
      </w:r>
    </w:p>
    <w:p w:rsidR="00A92BEC" w:rsidRPr="00DA2FB5" w:rsidRDefault="00A92BEC" w:rsidP="00A92BEC">
      <w:pPr>
        <w:tabs>
          <w:tab w:val="left" w:pos="2328"/>
        </w:tabs>
        <w:rPr>
          <w:b/>
          <w:sz w:val="28"/>
          <w:szCs w:val="28"/>
        </w:rPr>
      </w:pPr>
      <w:r w:rsidRPr="00DA2FB5">
        <w:rPr>
          <w:b/>
          <w:sz w:val="28"/>
          <w:szCs w:val="28"/>
        </w:rPr>
        <w:t>Monsieur le président ;</w:t>
      </w:r>
    </w:p>
    <w:p w:rsidR="00A92BEC" w:rsidRPr="00DA2FB5" w:rsidRDefault="00A92BEC" w:rsidP="00A92BEC">
      <w:pPr>
        <w:tabs>
          <w:tab w:val="left" w:pos="2328"/>
        </w:tabs>
        <w:rPr>
          <w:b/>
          <w:sz w:val="28"/>
          <w:szCs w:val="28"/>
        </w:rPr>
      </w:pPr>
      <w:r w:rsidRPr="00DA2FB5">
        <w:rPr>
          <w:b/>
          <w:sz w:val="28"/>
          <w:szCs w:val="28"/>
        </w:rPr>
        <w:t xml:space="preserve">Honorables conseillers nationaux ; </w:t>
      </w:r>
    </w:p>
    <w:p w:rsidR="00A92BEC" w:rsidRPr="00DA2FB5" w:rsidRDefault="003B2B9E" w:rsidP="00A92BEC">
      <w:pPr>
        <w:tabs>
          <w:tab w:val="left" w:pos="2328"/>
        </w:tabs>
        <w:rPr>
          <w:sz w:val="28"/>
          <w:szCs w:val="28"/>
        </w:rPr>
      </w:pPr>
      <w:r>
        <w:rPr>
          <w:sz w:val="28"/>
          <w:szCs w:val="28"/>
        </w:rPr>
        <w:t>L’</w:t>
      </w:r>
      <w:r w:rsidR="00A92BEC" w:rsidRPr="00DA2FB5">
        <w:rPr>
          <w:sz w:val="28"/>
          <w:szCs w:val="28"/>
        </w:rPr>
        <w:t>Acco</w:t>
      </w:r>
      <w:r w:rsidR="00C74E39" w:rsidRPr="00DA2FB5">
        <w:rPr>
          <w:sz w:val="28"/>
          <w:szCs w:val="28"/>
        </w:rPr>
        <w:t xml:space="preserve">rd GE 06 est un accord régional </w:t>
      </w:r>
      <w:r w:rsidR="00A92BEC" w:rsidRPr="00DA2FB5">
        <w:rPr>
          <w:sz w:val="28"/>
          <w:szCs w:val="28"/>
        </w:rPr>
        <w:t>qui consacre, encadre et régit la planification du service de radiodiffusion numérique de terre dans la région 1 située à l’ouest du méridien 170°</w:t>
      </w:r>
      <w:r w:rsidR="00A92BEC" w:rsidRPr="00DA2FB5">
        <w:rPr>
          <w:color w:val="FF0000"/>
          <w:sz w:val="28"/>
          <w:szCs w:val="28"/>
        </w:rPr>
        <w:t xml:space="preserve"> </w:t>
      </w:r>
      <w:r w:rsidR="00A92BEC" w:rsidRPr="00DA2FB5">
        <w:rPr>
          <w:sz w:val="28"/>
          <w:szCs w:val="28"/>
        </w:rPr>
        <w:t>Est et au nord du parallèle 40°Sud, à l’exception du territoire  de la Mongolie et  la République Islamique d’Iran dans les bandes de fréquences 174-230 MHz et 470-862 MHz.</w:t>
      </w:r>
    </w:p>
    <w:p w:rsidR="00A92BEC" w:rsidRPr="00DA2FB5" w:rsidRDefault="00A92BEC" w:rsidP="00A92BEC">
      <w:pPr>
        <w:tabs>
          <w:tab w:val="left" w:pos="2328"/>
        </w:tabs>
        <w:rPr>
          <w:sz w:val="28"/>
          <w:szCs w:val="28"/>
        </w:rPr>
      </w:pPr>
      <w:r w:rsidRPr="00DA2FB5">
        <w:rPr>
          <w:sz w:val="28"/>
          <w:szCs w:val="28"/>
        </w:rPr>
        <w:t>Cet Accord régional GE 06, est entré en vigueur depuis le 17 juin 2007 à 00 heure, Temps l’Egal Civil (UTC),</w:t>
      </w:r>
      <w:r w:rsidR="00D32382" w:rsidRPr="00DA2FB5">
        <w:rPr>
          <w:sz w:val="28"/>
          <w:szCs w:val="28"/>
        </w:rPr>
        <w:t xml:space="preserve"> il</w:t>
      </w:r>
      <w:r w:rsidRPr="00DA2FB5">
        <w:rPr>
          <w:sz w:val="28"/>
          <w:szCs w:val="28"/>
        </w:rPr>
        <w:t xml:space="preserve"> prévoit et sous-prescrit le basculement intégral de l’usage ou de l’utilisation de la technologie « analogique » vers la technologie « numérique terrestre » (TNT), pour l’ensemble des services de télédiffusion au sein des pays à l’échelle mondiale, et notamment pour les pays ou Etats de la région 1, dont la République de Guinée, avec pour échéances ou dates limites  initiales pour l’extinction du service analogique ou de la technologie « analogique » le 17 Juin 2015 pour la bande UHF, et le 17 Juin 2020 pour la bande VHF.</w:t>
      </w:r>
    </w:p>
    <w:p w:rsidR="00A92BEC" w:rsidRPr="00DA2FB5" w:rsidRDefault="00A92BEC" w:rsidP="00A92BEC">
      <w:pPr>
        <w:tabs>
          <w:tab w:val="left" w:pos="2328"/>
        </w:tabs>
        <w:rPr>
          <w:sz w:val="28"/>
          <w:szCs w:val="28"/>
        </w:rPr>
      </w:pPr>
      <w:r w:rsidRPr="00DA2FB5">
        <w:rPr>
          <w:sz w:val="28"/>
          <w:szCs w:val="28"/>
        </w:rPr>
        <w:t xml:space="preserve"> L’Accord GE 06 est très important pour notre pays, car il consacre, encadre et régit au niveau de la Région 1 dont la République de Guinée fait partie, le plan numérique et notamment la planification spectrale ou des bandes de fréquences dédiées désormais aux services de radiodiffusion, de télédiffusion et de télévision au sein de ces pays et Etats, dans le cadre du basculement et du passage de la technologie « analogique » vers celle du « numérique » au niveau desdits Etats.    </w:t>
      </w:r>
    </w:p>
    <w:p w:rsidR="00A92BEC" w:rsidRPr="00DA2FB5" w:rsidRDefault="00A92BEC" w:rsidP="00A92BEC">
      <w:pPr>
        <w:tabs>
          <w:tab w:val="left" w:pos="2328"/>
        </w:tabs>
        <w:rPr>
          <w:b/>
          <w:sz w:val="28"/>
          <w:szCs w:val="28"/>
        </w:rPr>
      </w:pPr>
      <w:r w:rsidRPr="00DA2FB5">
        <w:rPr>
          <w:b/>
          <w:sz w:val="28"/>
          <w:szCs w:val="28"/>
        </w:rPr>
        <w:t>Monsieur le Président,</w:t>
      </w:r>
    </w:p>
    <w:p w:rsidR="00A92BEC" w:rsidRPr="00DA2FB5" w:rsidRDefault="00A92BEC" w:rsidP="00A92BEC">
      <w:pPr>
        <w:tabs>
          <w:tab w:val="left" w:pos="2328"/>
        </w:tabs>
        <w:rPr>
          <w:b/>
          <w:sz w:val="28"/>
          <w:szCs w:val="28"/>
        </w:rPr>
      </w:pPr>
      <w:r w:rsidRPr="00DA2FB5">
        <w:rPr>
          <w:b/>
          <w:sz w:val="28"/>
          <w:szCs w:val="28"/>
        </w:rPr>
        <w:t>Honorable conseillers nationaux ;</w:t>
      </w:r>
    </w:p>
    <w:p w:rsidR="00A92BEC" w:rsidRPr="00DA2FB5" w:rsidRDefault="00A92BEC" w:rsidP="00A92BEC">
      <w:pPr>
        <w:tabs>
          <w:tab w:val="left" w:pos="2328"/>
        </w:tabs>
        <w:rPr>
          <w:sz w:val="28"/>
          <w:szCs w:val="28"/>
        </w:rPr>
      </w:pPr>
      <w:r w:rsidRPr="00DA2FB5">
        <w:rPr>
          <w:sz w:val="28"/>
          <w:szCs w:val="28"/>
        </w:rPr>
        <w:t>L’accord régional GE 06 comporte un préambule et 12 articles portant sur :</w:t>
      </w:r>
    </w:p>
    <w:p w:rsidR="00A92BEC" w:rsidRPr="00DA2FB5" w:rsidRDefault="00A92BEC" w:rsidP="00A92BEC">
      <w:pPr>
        <w:tabs>
          <w:tab w:val="left" w:pos="2328"/>
        </w:tabs>
        <w:rPr>
          <w:sz w:val="28"/>
          <w:szCs w:val="28"/>
        </w:rPr>
      </w:pPr>
      <w:r w:rsidRPr="00DA2FB5">
        <w:rPr>
          <w:sz w:val="28"/>
          <w:szCs w:val="28"/>
        </w:rPr>
        <w:t xml:space="preserve">Article 1er : définitions ; </w:t>
      </w:r>
    </w:p>
    <w:p w:rsidR="00A92BEC" w:rsidRPr="00DA2FB5" w:rsidRDefault="00A92BEC" w:rsidP="00A92BEC">
      <w:pPr>
        <w:tabs>
          <w:tab w:val="left" w:pos="2328"/>
        </w:tabs>
        <w:rPr>
          <w:sz w:val="28"/>
          <w:szCs w:val="28"/>
        </w:rPr>
      </w:pPr>
      <w:r w:rsidRPr="00DA2FB5">
        <w:rPr>
          <w:sz w:val="28"/>
          <w:szCs w:val="28"/>
        </w:rPr>
        <w:t>Article 2 : de l’exécution de l’Accord ;</w:t>
      </w:r>
    </w:p>
    <w:p w:rsidR="00A92BEC" w:rsidRPr="00DA2FB5" w:rsidRDefault="00A92BEC" w:rsidP="00A92BEC">
      <w:pPr>
        <w:tabs>
          <w:tab w:val="left" w:pos="2328"/>
        </w:tabs>
        <w:rPr>
          <w:sz w:val="28"/>
          <w:szCs w:val="28"/>
        </w:rPr>
      </w:pPr>
      <w:r w:rsidRPr="00DA2FB5">
        <w:rPr>
          <w:sz w:val="28"/>
          <w:szCs w:val="28"/>
        </w:rPr>
        <w:t>Article 3 : des annexes de l’Accord ;</w:t>
      </w:r>
    </w:p>
    <w:p w:rsidR="00A92BEC" w:rsidRPr="00DA2FB5" w:rsidRDefault="00A92BEC" w:rsidP="00A92BEC">
      <w:pPr>
        <w:tabs>
          <w:tab w:val="left" w:pos="2328"/>
        </w:tabs>
        <w:rPr>
          <w:sz w:val="28"/>
          <w:szCs w:val="28"/>
        </w:rPr>
      </w:pPr>
      <w:r w:rsidRPr="00DA2FB5">
        <w:rPr>
          <w:sz w:val="28"/>
          <w:szCs w:val="28"/>
        </w:rPr>
        <w:lastRenderedPageBreak/>
        <w:t xml:space="preserve"> Article 4 : de la procédure de modification des plans et la procédure de coordination d’autres services des terres primaires ;</w:t>
      </w:r>
    </w:p>
    <w:p w:rsidR="002A212F" w:rsidRDefault="00A92BEC" w:rsidP="00A92BEC">
      <w:pPr>
        <w:tabs>
          <w:tab w:val="left" w:pos="2328"/>
        </w:tabs>
        <w:rPr>
          <w:sz w:val="28"/>
          <w:szCs w:val="28"/>
        </w:rPr>
      </w:pPr>
      <w:r w:rsidRPr="00DA2FB5">
        <w:rPr>
          <w:sz w:val="28"/>
          <w:szCs w:val="28"/>
        </w:rPr>
        <w:t>Article 5 : de la notification des assignations de fréquence ;</w:t>
      </w:r>
    </w:p>
    <w:p w:rsidR="00A92BEC" w:rsidRPr="00DA2FB5" w:rsidRDefault="00A92BEC" w:rsidP="00A92BEC">
      <w:pPr>
        <w:tabs>
          <w:tab w:val="left" w:pos="2328"/>
        </w:tabs>
        <w:rPr>
          <w:sz w:val="28"/>
          <w:szCs w:val="28"/>
        </w:rPr>
      </w:pPr>
      <w:r w:rsidRPr="00DA2FB5">
        <w:rPr>
          <w:sz w:val="28"/>
          <w:szCs w:val="28"/>
        </w:rPr>
        <w:t xml:space="preserve">Article 6 : du règlement des différends ; </w:t>
      </w:r>
    </w:p>
    <w:p w:rsidR="00A92BEC" w:rsidRPr="00DA2FB5" w:rsidRDefault="00A92BEC" w:rsidP="00A92BEC">
      <w:pPr>
        <w:tabs>
          <w:tab w:val="left" w:pos="2328"/>
        </w:tabs>
        <w:rPr>
          <w:sz w:val="28"/>
          <w:szCs w:val="28"/>
        </w:rPr>
      </w:pPr>
      <w:r w:rsidRPr="00DA2FB5">
        <w:rPr>
          <w:sz w:val="28"/>
          <w:szCs w:val="28"/>
        </w:rPr>
        <w:t>Article 7 : de l’adhésion à l’accord ;</w:t>
      </w:r>
    </w:p>
    <w:p w:rsidR="00A92BEC" w:rsidRPr="00DA2FB5" w:rsidRDefault="00A92BEC" w:rsidP="00A92BEC">
      <w:pPr>
        <w:tabs>
          <w:tab w:val="left" w:pos="2328"/>
        </w:tabs>
        <w:rPr>
          <w:sz w:val="28"/>
          <w:szCs w:val="28"/>
        </w:rPr>
      </w:pPr>
      <w:r w:rsidRPr="00DA2FB5">
        <w:rPr>
          <w:sz w:val="28"/>
          <w:szCs w:val="28"/>
        </w:rPr>
        <w:t xml:space="preserve"> Article 8 : du champ d’application de l’accord ;</w:t>
      </w:r>
    </w:p>
    <w:p w:rsidR="00A92BEC" w:rsidRPr="00DA2FB5" w:rsidRDefault="00A92BEC" w:rsidP="00A92BEC">
      <w:pPr>
        <w:tabs>
          <w:tab w:val="left" w:pos="2328"/>
        </w:tabs>
        <w:rPr>
          <w:sz w:val="28"/>
          <w:szCs w:val="28"/>
        </w:rPr>
      </w:pPr>
      <w:r w:rsidRPr="00DA2FB5">
        <w:rPr>
          <w:sz w:val="28"/>
          <w:szCs w:val="28"/>
        </w:rPr>
        <w:t xml:space="preserve"> Article 9 : de l’approbation de l’Accord ;</w:t>
      </w:r>
    </w:p>
    <w:p w:rsidR="00A92BEC" w:rsidRPr="00DA2FB5" w:rsidRDefault="00A92BEC" w:rsidP="00A92BEC">
      <w:pPr>
        <w:tabs>
          <w:tab w:val="left" w:pos="2328"/>
        </w:tabs>
        <w:rPr>
          <w:sz w:val="28"/>
          <w:szCs w:val="28"/>
        </w:rPr>
      </w:pPr>
      <w:r w:rsidRPr="00DA2FB5">
        <w:rPr>
          <w:sz w:val="28"/>
          <w:szCs w:val="28"/>
        </w:rPr>
        <w:t>Article 10 : de la dénonciation de l’Accord ;</w:t>
      </w:r>
    </w:p>
    <w:p w:rsidR="00A92BEC" w:rsidRPr="00DA2FB5" w:rsidRDefault="00A92BEC" w:rsidP="00A92BEC">
      <w:pPr>
        <w:tabs>
          <w:tab w:val="left" w:pos="2328"/>
        </w:tabs>
        <w:rPr>
          <w:sz w:val="28"/>
          <w:szCs w:val="28"/>
        </w:rPr>
      </w:pPr>
      <w:r w:rsidRPr="00DA2FB5">
        <w:rPr>
          <w:sz w:val="28"/>
          <w:szCs w:val="28"/>
        </w:rPr>
        <w:t>Article 11 : de la révision de l’Accord ;</w:t>
      </w:r>
    </w:p>
    <w:p w:rsidR="00A92BEC" w:rsidRPr="00DA2FB5" w:rsidRDefault="00A92BEC" w:rsidP="00A92BEC">
      <w:pPr>
        <w:tabs>
          <w:tab w:val="left" w:pos="2328"/>
        </w:tabs>
        <w:rPr>
          <w:sz w:val="28"/>
          <w:szCs w:val="28"/>
        </w:rPr>
      </w:pPr>
      <w:r w:rsidRPr="00DA2FB5">
        <w:rPr>
          <w:sz w:val="28"/>
          <w:szCs w:val="28"/>
        </w:rPr>
        <w:t xml:space="preserve">Article 12 : de l’entrée en vigueur, de la durée et de l’application provisoire de l’Accord.  </w:t>
      </w:r>
    </w:p>
    <w:p w:rsidR="00A92BEC" w:rsidRPr="00DA2FB5" w:rsidRDefault="00A92BEC" w:rsidP="00A92BEC">
      <w:pPr>
        <w:tabs>
          <w:tab w:val="left" w:pos="2328"/>
        </w:tabs>
        <w:rPr>
          <w:sz w:val="28"/>
          <w:szCs w:val="28"/>
        </w:rPr>
      </w:pPr>
      <w:r w:rsidRPr="00DA2FB5">
        <w:rPr>
          <w:sz w:val="28"/>
          <w:szCs w:val="28"/>
        </w:rPr>
        <w:t>L’accord régional GE 06</w:t>
      </w:r>
      <w:r w:rsidRPr="00DA2FB5">
        <w:rPr>
          <w:color w:val="FF0000"/>
          <w:sz w:val="28"/>
          <w:szCs w:val="28"/>
        </w:rPr>
        <w:t xml:space="preserve"> </w:t>
      </w:r>
      <w:r w:rsidRPr="00DA2FB5">
        <w:rPr>
          <w:sz w:val="28"/>
          <w:szCs w:val="28"/>
        </w:rPr>
        <w:t>comprend aussi trois (3) annexes et deux résolutions qui sont :</w:t>
      </w:r>
    </w:p>
    <w:p w:rsidR="00A92BEC" w:rsidRPr="00DA2FB5" w:rsidRDefault="00A92BEC" w:rsidP="00A92BEC">
      <w:pPr>
        <w:tabs>
          <w:tab w:val="left" w:pos="2328"/>
        </w:tabs>
        <w:rPr>
          <w:sz w:val="28"/>
          <w:szCs w:val="28"/>
        </w:rPr>
      </w:pPr>
      <w:r w:rsidRPr="00DA2FB5">
        <w:rPr>
          <w:sz w:val="28"/>
          <w:szCs w:val="28"/>
        </w:rPr>
        <w:t>Annexe 1 : Plans de fréquences ;</w:t>
      </w:r>
    </w:p>
    <w:p w:rsidR="00A92BEC" w:rsidRPr="00DA2FB5" w:rsidRDefault="00A92BEC" w:rsidP="00A92BEC">
      <w:pPr>
        <w:tabs>
          <w:tab w:val="left" w:pos="2328"/>
        </w:tabs>
        <w:rPr>
          <w:sz w:val="28"/>
          <w:szCs w:val="28"/>
        </w:rPr>
      </w:pPr>
      <w:r w:rsidRPr="00DA2FB5">
        <w:rPr>
          <w:sz w:val="28"/>
          <w:szCs w:val="28"/>
        </w:rPr>
        <w:t>Annexe 2 : Elément et critères techniques utilisés pour l’établissement du plan et de la mise en œuvre de l’Accord, cet annexe est composée de :</w:t>
      </w:r>
    </w:p>
    <w:p w:rsidR="00A92BEC" w:rsidRPr="00DA2FB5" w:rsidRDefault="00A92BEC" w:rsidP="00A92BEC">
      <w:pPr>
        <w:tabs>
          <w:tab w:val="left" w:pos="2328"/>
        </w:tabs>
        <w:rPr>
          <w:sz w:val="28"/>
          <w:szCs w:val="28"/>
        </w:rPr>
      </w:pPr>
      <w:r w:rsidRPr="00DA2FB5">
        <w:rPr>
          <w:sz w:val="28"/>
          <w:szCs w:val="28"/>
        </w:rPr>
        <w:t>a-) Chapitre 1 : Définition ;</w:t>
      </w:r>
    </w:p>
    <w:p w:rsidR="00A92BEC" w:rsidRPr="00DA2FB5" w:rsidRDefault="00A92BEC" w:rsidP="00A92BEC">
      <w:pPr>
        <w:tabs>
          <w:tab w:val="left" w:pos="2328"/>
        </w:tabs>
        <w:rPr>
          <w:sz w:val="28"/>
          <w:szCs w:val="28"/>
        </w:rPr>
      </w:pPr>
      <w:r w:rsidRPr="00DA2FB5">
        <w:rPr>
          <w:sz w:val="28"/>
          <w:szCs w:val="28"/>
        </w:rPr>
        <w:t>b-) Chapitre 2 : Renseignement concernant la propagation ;</w:t>
      </w:r>
    </w:p>
    <w:p w:rsidR="00A92BEC" w:rsidRPr="00DA2FB5" w:rsidRDefault="00A92BEC" w:rsidP="00A92BEC">
      <w:pPr>
        <w:tabs>
          <w:tab w:val="left" w:pos="2328"/>
        </w:tabs>
        <w:rPr>
          <w:sz w:val="28"/>
          <w:szCs w:val="28"/>
        </w:rPr>
      </w:pPr>
      <w:r w:rsidRPr="00DA2FB5">
        <w:rPr>
          <w:sz w:val="28"/>
          <w:szCs w:val="28"/>
        </w:rPr>
        <w:t>c -) Chapitre 3 : Bases techniques pour le service de radiodiffusion de Terre.</w:t>
      </w:r>
    </w:p>
    <w:p w:rsidR="00A92BEC" w:rsidRPr="00DA2FB5" w:rsidRDefault="00A92BEC" w:rsidP="00A92BEC">
      <w:pPr>
        <w:tabs>
          <w:tab w:val="left" w:pos="2328"/>
        </w:tabs>
        <w:rPr>
          <w:sz w:val="28"/>
          <w:szCs w:val="28"/>
        </w:rPr>
      </w:pPr>
      <w:r w:rsidRPr="00DA2FB5">
        <w:rPr>
          <w:sz w:val="28"/>
          <w:szCs w:val="28"/>
        </w:rPr>
        <w:t>Annexe 3 : Caractéristiques fondamentales à soumettre en application de l’Accord ;</w:t>
      </w:r>
    </w:p>
    <w:p w:rsidR="00A92BEC" w:rsidRPr="00DA2FB5" w:rsidRDefault="00A92BEC" w:rsidP="00A92BEC">
      <w:pPr>
        <w:tabs>
          <w:tab w:val="left" w:pos="2328"/>
        </w:tabs>
        <w:rPr>
          <w:sz w:val="28"/>
          <w:szCs w:val="28"/>
        </w:rPr>
      </w:pPr>
      <w:r w:rsidRPr="00DA2FB5">
        <w:rPr>
          <w:sz w:val="28"/>
          <w:szCs w:val="28"/>
        </w:rPr>
        <w:t>Résolution 1 : Service de Radiodiffusion par satellite dans la bande 620.790 MHZ ;</w:t>
      </w:r>
    </w:p>
    <w:p w:rsidR="00A92BEC" w:rsidRDefault="00A92BEC" w:rsidP="00A92BEC">
      <w:pPr>
        <w:tabs>
          <w:tab w:val="left" w:pos="2328"/>
        </w:tabs>
        <w:rPr>
          <w:sz w:val="28"/>
          <w:szCs w:val="28"/>
        </w:rPr>
      </w:pPr>
      <w:r w:rsidRPr="00DA2FB5">
        <w:rPr>
          <w:sz w:val="28"/>
          <w:szCs w:val="28"/>
        </w:rPr>
        <w:t>Résolution 2 : caractéristiques pour la coordination et la notification des services de terres primaires dans les bandes 174.230 MHZ et 470.862 MHZ dans la zone de planification</w:t>
      </w:r>
      <w:r w:rsidR="006E3FDC">
        <w:rPr>
          <w:sz w:val="28"/>
          <w:szCs w:val="28"/>
        </w:rPr>
        <w:t>.</w:t>
      </w:r>
    </w:p>
    <w:p w:rsidR="002C62FC" w:rsidRPr="00DA2FB5" w:rsidRDefault="002C62FC" w:rsidP="002C62FC">
      <w:pPr>
        <w:tabs>
          <w:tab w:val="left" w:pos="2328"/>
        </w:tabs>
        <w:rPr>
          <w:b/>
          <w:sz w:val="28"/>
          <w:szCs w:val="28"/>
        </w:rPr>
      </w:pPr>
      <w:r w:rsidRPr="00DA2FB5">
        <w:rPr>
          <w:b/>
          <w:sz w:val="28"/>
          <w:szCs w:val="28"/>
        </w:rPr>
        <w:t>Monsieur le Président ;</w:t>
      </w:r>
    </w:p>
    <w:p w:rsidR="002C62FC" w:rsidRPr="00DA2FB5" w:rsidRDefault="002C62FC" w:rsidP="00A92BEC">
      <w:pPr>
        <w:tabs>
          <w:tab w:val="left" w:pos="2328"/>
        </w:tabs>
        <w:rPr>
          <w:b/>
          <w:sz w:val="28"/>
          <w:szCs w:val="28"/>
        </w:rPr>
      </w:pPr>
      <w:r w:rsidRPr="00DA2FB5">
        <w:rPr>
          <w:b/>
          <w:sz w:val="28"/>
          <w:szCs w:val="28"/>
        </w:rPr>
        <w:t>Honorables conseillers nationaux ;</w:t>
      </w:r>
    </w:p>
    <w:p w:rsidR="002C62FC" w:rsidRPr="00DA2FB5" w:rsidRDefault="002C62FC" w:rsidP="002C62FC">
      <w:pPr>
        <w:tabs>
          <w:tab w:val="left" w:pos="2328"/>
        </w:tabs>
        <w:rPr>
          <w:color w:val="FF0000"/>
          <w:sz w:val="28"/>
          <w:szCs w:val="28"/>
        </w:rPr>
      </w:pPr>
      <w:r w:rsidRPr="00DA2FB5">
        <w:rPr>
          <w:color w:val="000000" w:themeColor="text1"/>
          <w:sz w:val="28"/>
          <w:szCs w:val="28"/>
        </w:rPr>
        <w:lastRenderedPageBreak/>
        <w:t xml:space="preserve">Le démarrage de ce processus de transition vers le numérique est nécessaire car le risque qui résulterait du non basculement final et définitif de notre pays vers cette technologie, serait de se voir interdire par l’Union Internationale des télécommunications (UIT) qui est le régulateur mondial des Télécommunications, d’émettre sur les fréquences analogiques, afin d’éviter les interférences avec les signaux des pays voisins qui ont déjà parachevé leur transition numérique.       </w:t>
      </w:r>
    </w:p>
    <w:p w:rsidR="002C62FC" w:rsidRPr="00DA2FB5" w:rsidRDefault="002C62FC" w:rsidP="002C62FC">
      <w:pPr>
        <w:tabs>
          <w:tab w:val="left" w:pos="2328"/>
        </w:tabs>
        <w:rPr>
          <w:sz w:val="28"/>
          <w:szCs w:val="28"/>
        </w:rPr>
      </w:pPr>
      <w:r w:rsidRPr="00DA2FB5">
        <w:rPr>
          <w:sz w:val="28"/>
          <w:szCs w:val="28"/>
        </w:rPr>
        <w:t xml:space="preserve">C’est dans le cadre de la finalisation de ce processus que les honorables conseillers ont ratifié le 23 octobre 2024, un prêt  de « soixante-six millions d’euros » (66 000 000 Euros) avec BPI FRANCE pour les activités suivantes : </w:t>
      </w:r>
    </w:p>
    <w:p w:rsidR="002C62FC" w:rsidRPr="00DA2FB5" w:rsidRDefault="002C62FC" w:rsidP="002C62FC">
      <w:pPr>
        <w:tabs>
          <w:tab w:val="left" w:pos="2328"/>
        </w:tabs>
        <w:rPr>
          <w:sz w:val="28"/>
          <w:szCs w:val="28"/>
        </w:rPr>
      </w:pPr>
      <w:r w:rsidRPr="00DA2FB5">
        <w:rPr>
          <w:sz w:val="28"/>
          <w:szCs w:val="28"/>
        </w:rPr>
        <w:t xml:space="preserve">•La numérisation complète des RTG 1 et 2, les studios de production  radio et télévision de douze (12) caméras, la fourniture d’un fly-away de quatre (4) caméras, une régie et son système de transmission embarqués sur un pick-up ; </w:t>
      </w:r>
    </w:p>
    <w:p w:rsidR="002C62FC" w:rsidRPr="00DA2FB5" w:rsidRDefault="002C62FC" w:rsidP="002C62FC">
      <w:pPr>
        <w:tabs>
          <w:tab w:val="left" w:pos="2328"/>
        </w:tabs>
        <w:rPr>
          <w:color w:val="FF0000"/>
          <w:sz w:val="28"/>
          <w:szCs w:val="28"/>
        </w:rPr>
      </w:pPr>
      <w:r w:rsidRPr="00DA2FB5">
        <w:rPr>
          <w:sz w:val="28"/>
          <w:szCs w:val="28"/>
        </w:rPr>
        <w:t>•La construction et l’équipement d’un bâtiment R+3 à Koloma devant abriter la tête du réseau et la salle de contrôle de l’ensemble du réseau ;</w:t>
      </w:r>
    </w:p>
    <w:p w:rsidR="002C62FC" w:rsidRPr="00DA2FB5" w:rsidRDefault="002C62FC" w:rsidP="002C62FC">
      <w:pPr>
        <w:tabs>
          <w:tab w:val="left" w:pos="2328"/>
        </w:tabs>
        <w:rPr>
          <w:b/>
          <w:color w:val="FF0000"/>
          <w:sz w:val="28"/>
          <w:szCs w:val="28"/>
        </w:rPr>
      </w:pPr>
      <w:r w:rsidRPr="00DA2FB5">
        <w:rPr>
          <w:color w:val="000000" w:themeColor="text1"/>
          <w:sz w:val="28"/>
          <w:szCs w:val="28"/>
        </w:rPr>
        <w:t>•La modernisation du réseau de diffusion de quinze(15) sites;</w:t>
      </w:r>
    </w:p>
    <w:p w:rsidR="002C62FC" w:rsidRPr="00DA2FB5" w:rsidRDefault="002C62FC" w:rsidP="002C62FC">
      <w:pPr>
        <w:tabs>
          <w:tab w:val="left" w:pos="2328"/>
        </w:tabs>
        <w:rPr>
          <w:sz w:val="28"/>
          <w:szCs w:val="28"/>
        </w:rPr>
      </w:pPr>
      <w:r w:rsidRPr="00DA2FB5">
        <w:rPr>
          <w:sz w:val="28"/>
          <w:szCs w:val="28"/>
        </w:rPr>
        <w:t>•La construction et l’équipement de cinq (5) studios régionaux : Boké, Kankan, Kindia, Labé et Nzérékoré ;</w:t>
      </w:r>
    </w:p>
    <w:p w:rsidR="002C62FC" w:rsidRPr="00DA2FB5" w:rsidRDefault="002C62FC" w:rsidP="002C62FC">
      <w:pPr>
        <w:tabs>
          <w:tab w:val="left" w:pos="2328"/>
        </w:tabs>
        <w:rPr>
          <w:sz w:val="28"/>
          <w:szCs w:val="28"/>
        </w:rPr>
      </w:pPr>
      <w:r w:rsidRPr="00DA2FB5">
        <w:rPr>
          <w:sz w:val="28"/>
          <w:szCs w:val="28"/>
        </w:rPr>
        <w:t xml:space="preserve">•L’équipement de l’institut national de l’audiovisuel (INA) pour la récupération des contenus sur les anciens supports (bandes magnétiques, bétacam, VHF), leur numérisation sur des serveurs, </w:t>
      </w:r>
    </w:p>
    <w:p w:rsidR="002C62FC" w:rsidRPr="00DA2FB5" w:rsidRDefault="002C62FC" w:rsidP="002C62FC">
      <w:pPr>
        <w:tabs>
          <w:tab w:val="left" w:pos="2328"/>
        </w:tabs>
        <w:rPr>
          <w:sz w:val="28"/>
          <w:szCs w:val="28"/>
        </w:rPr>
      </w:pPr>
      <w:r w:rsidRPr="00DA2FB5">
        <w:rPr>
          <w:sz w:val="28"/>
          <w:szCs w:val="28"/>
        </w:rPr>
        <w:t>•l’installation d’un système d’archivage automatique des nouveaux contenus et la création du patrimoine en ligne ;</w:t>
      </w:r>
    </w:p>
    <w:p w:rsidR="002C62FC" w:rsidRPr="00DA2FB5" w:rsidRDefault="002C62FC" w:rsidP="002C62FC">
      <w:pPr>
        <w:tabs>
          <w:tab w:val="left" w:pos="2328"/>
        </w:tabs>
        <w:rPr>
          <w:sz w:val="28"/>
          <w:szCs w:val="28"/>
        </w:rPr>
      </w:pPr>
      <w:r w:rsidRPr="00DA2FB5">
        <w:rPr>
          <w:sz w:val="28"/>
          <w:szCs w:val="28"/>
        </w:rPr>
        <w:t>•La construction et l’équipement du centre de maintenance ;</w:t>
      </w:r>
    </w:p>
    <w:p w:rsidR="002C62FC" w:rsidRPr="00DA2FB5" w:rsidRDefault="002C62FC" w:rsidP="002C62FC">
      <w:pPr>
        <w:tabs>
          <w:tab w:val="left" w:pos="2328"/>
        </w:tabs>
        <w:rPr>
          <w:sz w:val="28"/>
          <w:szCs w:val="28"/>
        </w:rPr>
      </w:pPr>
      <w:r w:rsidRPr="00DA2FB5">
        <w:rPr>
          <w:sz w:val="28"/>
          <w:szCs w:val="28"/>
        </w:rPr>
        <w:t xml:space="preserve">•La formation des équipes techniques de la RTG, des Services de diffusion et </w:t>
      </w:r>
      <w:r w:rsidR="000E465F" w:rsidRPr="00DA2FB5">
        <w:rPr>
          <w:sz w:val="28"/>
          <w:szCs w:val="28"/>
        </w:rPr>
        <w:t>d’Institut</w:t>
      </w:r>
      <w:r w:rsidR="000E465F">
        <w:rPr>
          <w:sz w:val="28"/>
          <w:szCs w:val="28"/>
        </w:rPr>
        <w:t xml:space="preserve"> National de l’Audiovisuel (</w:t>
      </w:r>
      <w:r w:rsidRPr="00DA2FB5">
        <w:rPr>
          <w:sz w:val="28"/>
          <w:szCs w:val="28"/>
        </w:rPr>
        <w:t>INA</w:t>
      </w:r>
      <w:r w:rsidR="000E465F">
        <w:rPr>
          <w:sz w:val="28"/>
          <w:szCs w:val="28"/>
        </w:rPr>
        <w:t>)</w:t>
      </w:r>
      <w:r w:rsidRPr="00DA2FB5">
        <w:rPr>
          <w:sz w:val="28"/>
          <w:szCs w:val="28"/>
        </w:rPr>
        <w:t xml:space="preserve"> en Guinée et en France ;</w:t>
      </w:r>
    </w:p>
    <w:p w:rsidR="002C62FC" w:rsidRPr="00DA2FB5" w:rsidRDefault="002C62FC" w:rsidP="002C62FC">
      <w:pPr>
        <w:tabs>
          <w:tab w:val="left" w:pos="2328"/>
        </w:tabs>
        <w:rPr>
          <w:sz w:val="28"/>
          <w:szCs w:val="28"/>
        </w:rPr>
      </w:pPr>
      <w:r w:rsidRPr="00DA2FB5">
        <w:rPr>
          <w:sz w:val="28"/>
          <w:szCs w:val="28"/>
        </w:rPr>
        <w:t>•La revue du cadre légal et réglementaire de l’audiovisuel et des télécommunications ;</w:t>
      </w:r>
    </w:p>
    <w:p w:rsidR="006F571E" w:rsidRDefault="002C62FC" w:rsidP="00A92BEC">
      <w:pPr>
        <w:tabs>
          <w:tab w:val="left" w:pos="2328"/>
        </w:tabs>
        <w:rPr>
          <w:sz w:val="28"/>
          <w:szCs w:val="28"/>
        </w:rPr>
      </w:pPr>
      <w:r w:rsidRPr="00DA2FB5">
        <w:rPr>
          <w:sz w:val="28"/>
          <w:szCs w:val="28"/>
        </w:rPr>
        <w:t>•La proposition de bonnes pratiques de gestion du dividende numérique au gouvernement.</w:t>
      </w:r>
    </w:p>
    <w:p w:rsidR="00A92BEC" w:rsidRPr="006F571E" w:rsidRDefault="00A92BEC" w:rsidP="00A92BEC">
      <w:pPr>
        <w:tabs>
          <w:tab w:val="left" w:pos="2328"/>
        </w:tabs>
        <w:rPr>
          <w:sz w:val="28"/>
          <w:szCs w:val="28"/>
        </w:rPr>
      </w:pPr>
      <w:r w:rsidRPr="00DA2FB5">
        <w:rPr>
          <w:b/>
          <w:sz w:val="28"/>
          <w:szCs w:val="28"/>
        </w:rPr>
        <w:t>Monsieur le Président ;</w:t>
      </w:r>
    </w:p>
    <w:p w:rsidR="00A92BEC" w:rsidRPr="00DA2FB5" w:rsidRDefault="00A92BEC" w:rsidP="00A92BEC">
      <w:pPr>
        <w:tabs>
          <w:tab w:val="left" w:pos="2328"/>
        </w:tabs>
        <w:rPr>
          <w:b/>
          <w:sz w:val="28"/>
          <w:szCs w:val="28"/>
        </w:rPr>
      </w:pPr>
      <w:r w:rsidRPr="00DA2FB5">
        <w:rPr>
          <w:b/>
          <w:sz w:val="28"/>
          <w:szCs w:val="28"/>
        </w:rPr>
        <w:t xml:space="preserve">Honorables conseillers nationaux ; </w:t>
      </w:r>
    </w:p>
    <w:p w:rsidR="00A92BEC" w:rsidRPr="00DA2FB5" w:rsidRDefault="00A92BEC" w:rsidP="00A92BEC">
      <w:pPr>
        <w:tabs>
          <w:tab w:val="left" w:pos="2328"/>
        </w:tabs>
        <w:rPr>
          <w:sz w:val="28"/>
          <w:szCs w:val="28"/>
        </w:rPr>
      </w:pPr>
      <w:r w:rsidRPr="00DA2FB5">
        <w:rPr>
          <w:sz w:val="28"/>
          <w:szCs w:val="28"/>
        </w:rPr>
        <w:lastRenderedPageBreak/>
        <w:t>Au cours des travaux en commission et en inter-commissions, les préoccupations des honorables conseillers ont porté sur :</w:t>
      </w:r>
    </w:p>
    <w:p w:rsidR="00A92BEC" w:rsidRPr="00DA2FB5" w:rsidRDefault="00D67CFB" w:rsidP="007325AA">
      <w:pPr>
        <w:pStyle w:val="Paragraphedeliste"/>
        <w:numPr>
          <w:ilvl w:val="0"/>
          <w:numId w:val="2"/>
        </w:numPr>
        <w:tabs>
          <w:tab w:val="left" w:pos="2328"/>
        </w:tabs>
        <w:spacing w:line="360" w:lineRule="auto"/>
        <w:rPr>
          <w:sz w:val="28"/>
          <w:szCs w:val="28"/>
        </w:rPr>
      </w:pPr>
      <w:r w:rsidRPr="00DA2FB5">
        <w:rPr>
          <w:sz w:val="28"/>
          <w:szCs w:val="28"/>
        </w:rPr>
        <w:t xml:space="preserve">La compréhension de </w:t>
      </w:r>
      <w:r w:rsidR="00A92BEC" w:rsidRPr="00DA2FB5">
        <w:rPr>
          <w:sz w:val="28"/>
          <w:szCs w:val="28"/>
        </w:rPr>
        <w:t>la description technique du projet</w:t>
      </w:r>
      <w:r w:rsidR="007325AA" w:rsidRPr="00DA2FB5">
        <w:rPr>
          <w:sz w:val="28"/>
          <w:szCs w:val="28"/>
        </w:rPr>
        <w:t> ;</w:t>
      </w:r>
      <w:r w:rsidR="00A92BEC" w:rsidRPr="00DA2FB5">
        <w:rPr>
          <w:sz w:val="28"/>
          <w:szCs w:val="28"/>
        </w:rPr>
        <w:t> </w:t>
      </w:r>
    </w:p>
    <w:p w:rsidR="00A92BEC" w:rsidRPr="00DA2FB5" w:rsidRDefault="00A92BEC" w:rsidP="007325AA">
      <w:pPr>
        <w:pStyle w:val="Paragraphedeliste"/>
        <w:numPr>
          <w:ilvl w:val="0"/>
          <w:numId w:val="2"/>
        </w:numPr>
        <w:tabs>
          <w:tab w:val="left" w:pos="2328"/>
        </w:tabs>
        <w:spacing w:line="360" w:lineRule="auto"/>
        <w:rPr>
          <w:sz w:val="28"/>
          <w:szCs w:val="28"/>
        </w:rPr>
      </w:pPr>
      <w:r w:rsidRPr="00DA2FB5">
        <w:rPr>
          <w:sz w:val="28"/>
          <w:szCs w:val="28"/>
        </w:rPr>
        <w:t>Les critères de choix de l’entreprise (Groupe Thomson)</w:t>
      </w:r>
      <w:r w:rsidR="007325AA" w:rsidRPr="00DA2FB5">
        <w:rPr>
          <w:sz w:val="28"/>
          <w:szCs w:val="28"/>
        </w:rPr>
        <w:t> ;</w:t>
      </w:r>
    </w:p>
    <w:p w:rsidR="006B5643" w:rsidRPr="00DA2FB5" w:rsidRDefault="006B5643" w:rsidP="007325AA">
      <w:pPr>
        <w:pStyle w:val="Paragraphedeliste"/>
        <w:numPr>
          <w:ilvl w:val="0"/>
          <w:numId w:val="2"/>
        </w:numPr>
        <w:tabs>
          <w:tab w:val="left" w:pos="2328"/>
        </w:tabs>
        <w:spacing w:line="360" w:lineRule="auto"/>
        <w:rPr>
          <w:sz w:val="28"/>
          <w:szCs w:val="28"/>
        </w:rPr>
      </w:pPr>
      <w:r w:rsidRPr="00DA2FB5">
        <w:rPr>
          <w:sz w:val="28"/>
          <w:szCs w:val="28"/>
        </w:rPr>
        <w:t xml:space="preserve">Le temps mis entre la signature </w:t>
      </w:r>
      <w:r w:rsidR="002C62FC" w:rsidRPr="00DA2FB5">
        <w:rPr>
          <w:sz w:val="28"/>
          <w:szCs w:val="28"/>
        </w:rPr>
        <w:t xml:space="preserve">de l’accord et la demande de ratification </w:t>
      </w:r>
      <w:r w:rsidR="003B2B9E">
        <w:rPr>
          <w:sz w:val="28"/>
          <w:szCs w:val="28"/>
        </w:rPr>
        <w:t xml:space="preserve">(2006 </w:t>
      </w:r>
      <w:r w:rsidRPr="00DA2FB5">
        <w:rPr>
          <w:sz w:val="28"/>
          <w:szCs w:val="28"/>
        </w:rPr>
        <w:t>-2025)</w:t>
      </w:r>
      <w:r w:rsidR="007325AA" w:rsidRPr="00DA2FB5">
        <w:rPr>
          <w:sz w:val="28"/>
          <w:szCs w:val="28"/>
        </w:rPr>
        <w:t> ;</w:t>
      </w:r>
    </w:p>
    <w:p w:rsidR="00A92BEC" w:rsidRPr="00DA2FB5" w:rsidRDefault="00A92BEC" w:rsidP="007325AA">
      <w:pPr>
        <w:pStyle w:val="Paragraphedeliste"/>
        <w:numPr>
          <w:ilvl w:val="0"/>
          <w:numId w:val="2"/>
        </w:numPr>
        <w:tabs>
          <w:tab w:val="left" w:pos="2328"/>
        </w:tabs>
        <w:spacing w:line="360" w:lineRule="auto"/>
        <w:rPr>
          <w:sz w:val="28"/>
          <w:szCs w:val="28"/>
        </w:rPr>
      </w:pPr>
      <w:r w:rsidRPr="00DA2FB5">
        <w:rPr>
          <w:sz w:val="28"/>
          <w:szCs w:val="28"/>
        </w:rPr>
        <w:t>La situation actuelle de notre pays pour la mise en œuvre de cet accord une fois ratifié</w:t>
      </w:r>
      <w:r w:rsidR="007325AA" w:rsidRPr="00DA2FB5">
        <w:rPr>
          <w:sz w:val="28"/>
          <w:szCs w:val="28"/>
        </w:rPr>
        <w:t> ;</w:t>
      </w:r>
    </w:p>
    <w:p w:rsidR="00A92BEC" w:rsidRPr="00DA2FB5" w:rsidRDefault="00DE2CEA" w:rsidP="007325AA">
      <w:pPr>
        <w:pStyle w:val="Paragraphedeliste"/>
        <w:numPr>
          <w:ilvl w:val="0"/>
          <w:numId w:val="2"/>
        </w:numPr>
        <w:tabs>
          <w:tab w:val="left" w:pos="2328"/>
        </w:tabs>
        <w:spacing w:line="360" w:lineRule="auto"/>
        <w:rPr>
          <w:sz w:val="28"/>
          <w:szCs w:val="28"/>
        </w:rPr>
      </w:pPr>
      <w:r w:rsidRPr="00DA2FB5">
        <w:rPr>
          <w:sz w:val="28"/>
          <w:szCs w:val="28"/>
        </w:rPr>
        <w:t>Les dispositions prises pour combler le retard enregistré dans l’exécution du projet</w:t>
      </w:r>
      <w:r w:rsidR="007325AA" w:rsidRPr="00DA2FB5">
        <w:rPr>
          <w:sz w:val="28"/>
          <w:szCs w:val="28"/>
        </w:rPr>
        <w:t> ;</w:t>
      </w:r>
    </w:p>
    <w:p w:rsidR="00DE2CEA" w:rsidRPr="00DA2FB5" w:rsidRDefault="00DE2CEA" w:rsidP="007325AA">
      <w:pPr>
        <w:pStyle w:val="Paragraphedeliste"/>
        <w:numPr>
          <w:ilvl w:val="0"/>
          <w:numId w:val="2"/>
        </w:numPr>
        <w:tabs>
          <w:tab w:val="left" w:pos="2328"/>
        </w:tabs>
        <w:spacing w:line="360" w:lineRule="auto"/>
        <w:rPr>
          <w:sz w:val="28"/>
          <w:szCs w:val="28"/>
        </w:rPr>
      </w:pPr>
      <w:r w:rsidRPr="00DA2FB5">
        <w:rPr>
          <w:sz w:val="28"/>
          <w:szCs w:val="28"/>
        </w:rPr>
        <w:t>Le rapport entre GE 06 et le contrat de prêt acheteur numéro 2 pour le financement</w:t>
      </w:r>
      <w:r w:rsidR="006A178C">
        <w:rPr>
          <w:sz w:val="28"/>
          <w:szCs w:val="28"/>
        </w:rPr>
        <w:t> </w:t>
      </w:r>
      <w:r w:rsidRPr="00DA2FB5">
        <w:rPr>
          <w:sz w:val="28"/>
          <w:szCs w:val="28"/>
        </w:rPr>
        <w:t>du projet de transition vers le numérique de la radio et de la Télévision Nationale</w:t>
      </w:r>
      <w:r w:rsidR="006A178C">
        <w:rPr>
          <w:sz w:val="28"/>
          <w:szCs w:val="28"/>
        </w:rPr>
        <w:t> ;</w:t>
      </w:r>
    </w:p>
    <w:p w:rsidR="00DE2CEA" w:rsidRPr="00DA2FB5" w:rsidRDefault="00DE2CEA" w:rsidP="007325AA">
      <w:pPr>
        <w:pStyle w:val="Paragraphedeliste"/>
        <w:numPr>
          <w:ilvl w:val="0"/>
          <w:numId w:val="2"/>
        </w:numPr>
        <w:tabs>
          <w:tab w:val="left" w:pos="2328"/>
        </w:tabs>
        <w:spacing w:line="360" w:lineRule="auto"/>
        <w:rPr>
          <w:sz w:val="28"/>
          <w:szCs w:val="28"/>
        </w:rPr>
      </w:pPr>
      <w:r w:rsidRPr="00DA2FB5">
        <w:rPr>
          <w:sz w:val="28"/>
          <w:szCs w:val="28"/>
        </w:rPr>
        <w:t xml:space="preserve">La couverture du territoire Nationale par les signaux de la Radio et de la </w:t>
      </w:r>
      <w:r w:rsidR="006B5643" w:rsidRPr="00DA2FB5">
        <w:rPr>
          <w:sz w:val="28"/>
          <w:szCs w:val="28"/>
        </w:rPr>
        <w:t>Télévision</w:t>
      </w:r>
      <w:r w:rsidRPr="00DA2FB5">
        <w:rPr>
          <w:sz w:val="28"/>
          <w:szCs w:val="28"/>
        </w:rPr>
        <w:t xml:space="preserve"> Nationale</w:t>
      </w:r>
      <w:r w:rsidR="007325AA" w:rsidRPr="00DA2FB5">
        <w:rPr>
          <w:sz w:val="28"/>
          <w:szCs w:val="28"/>
        </w:rPr>
        <w:t> ;</w:t>
      </w:r>
      <w:r w:rsidR="006B5643" w:rsidRPr="00DA2FB5">
        <w:rPr>
          <w:sz w:val="28"/>
          <w:szCs w:val="28"/>
        </w:rPr>
        <w:t xml:space="preserve"> </w:t>
      </w:r>
    </w:p>
    <w:p w:rsidR="006B5643" w:rsidRPr="00DA2FB5" w:rsidRDefault="006B5643" w:rsidP="007325AA">
      <w:pPr>
        <w:pStyle w:val="Paragraphedeliste"/>
        <w:numPr>
          <w:ilvl w:val="0"/>
          <w:numId w:val="2"/>
        </w:numPr>
        <w:tabs>
          <w:tab w:val="left" w:pos="2328"/>
        </w:tabs>
        <w:spacing w:line="360" w:lineRule="auto"/>
        <w:rPr>
          <w:sz w:val="28"/>
          <w:szCs w:val="28"/>
        </w:rPr>
      </w:pPr>
      <w:r w:rsidRPr="00DA2FB5">
        <w:rPr>
          <w:sz w:val="28"/>
          <w:szCs w:val="28"/>
        </w:rPr>
        <w:t>La prise en compte des entreprises locales dans le strict respect de la loi sur le contenu local</w:t>
      </w:r>
      <w:r w:rsidR="007325AA" w:rsidRPr="00DA2FB5">
        <w:rPr>
          <w:sz w:val="28"/>
          <w:szCs w:val="28"/>
        </w:rPr>
        <w:t> ;</w:t>
      </w:r>
    </w:p>
    <w:p w:rsidR="00913783" w:rsidRDefault="006B5643" w:rsidP="00E91D47">
      <w:pPr>
        <w:pStyle w:val="Paragraphedeliste"/>
        <w:numPr>
          <w:ilvl w:val="0"/>
          <w:numId w:val="2"/>
        </w:numPr>
        <w:tabs>
          <w:tab w:val="left" w:pos="2328"/>
        </w:tabs>
        <w:spacing w:line="360" w:lineRule="auto"/>
        <w:rPr>
          <w:sz w:val="28"/>
          <w:szCs w:val="28"/>
        </w:rPr>
      </w:pPr>
      <w:r w:rsidRPr="00DA2FB5">
        <w:rPr>
          <w:sz w:val="28"/>
          <w:szCs w:val="28"/>
        </w:rPr>
        <w:t xml:space="preserve">L’implication des deux départements ministériels dans la mise en œuvre </w:t>
      </w:r>
      <w:r w:rsidR="00874E61" w:rsidRPr="00DA2FB5">
        <w:rPr>
          <w:sz w:val="28"/>
          <w:szCs w:val="28"/>
        </w:rPr>
        <w:t xml:space="preserve">de </w:t>
      </w:r>
      <w:r w:rsidRPr="00DA2FB5">
        <w:rPr>
          <w:sz w:val="28"/>
          <w:szCs w:val="28"/>
        </w:rPr>
        <w:t xml:space="preserve"> </w:t>
      </w:r>
      <w:r w:rsidR="00874E61" w:rsidRPr="00DA2FB5">
        <w:rPr>
          <w:sz w:val="28"/>
          <w:szCs w:val="28"/>
        </w:rPr>
        <w:t>l’</w:t>
      </w:r>
      <w:r w:rsidRPr="00DA2FB5">
        <w:rPr>
          <w:sz w:val="28"/>
          <w:szCs w:val="28"/>
        </w:rPr>
        <w:t>accord</w:t>
      </w:r>
      <w:r w:rsidR="007325AA" w:rsidRPr="00DA2FB5">
        <w:rPr>
          <w:sz w:val="28"/>
          <w:szCs w:val="28"/>
        </w:rPr>
        <w:t>.</w:t>
      </w:r>
    </w:p>
    <w:p w:rsidR="006A178C" w:rsidRPr="006F571E" w:rsidRDefault="006A178C" w:rsidP="006A178C">
      <w:pPr>
        <w:tabs>
          <w:tab w:val="left" w:pos="2328"/>
        </w:tabs>
        <w:rPr>
          <w:sz w:val="28"/>
          <w:szCs w:val="28"/>
        </w:rPr>
      </w:pPr>
      <w:r w:rsidRPr="00DA2FB5">
        <w:rPr>
          <w:b/>
          <w:sz w:val="28"/>
          <w:szCs w:val="28"/>
        </w:rPr>
        <w:t>Monsieur le Président ;</w:t>
      </w:r>
    </w:p>
    <w:p w:rsidR="00874E61" w:rsidRPr="00DA2FB5" w:rsidRDefault="00874E61" w:rsidP="00A92BEC">
      <w:pPr>
        <w:tabs>
          <w:tab w:val="left" w:pos="2328"/>
        </w:tabs>
        <w:rPr>
          <w:b/>
          <w:sz w:val="28"/>
          <w:szCs w:val="28"/>
        </w:rPr>
      </w:pPr>
      <w:r w:rsidRPr="00DA2FB5">
        <w:rPr>
          <w:b/>
          <w:sz w:val="28"/>
          <w:szCs w:val="28"/>
        </w:rPr>
        <w:t>Honorables conseillers nationaux,</w:t>
      </w:r>
    </w:p>
    <w:p w:rsidR="00874E61" w:rsidRPr="00DA2FB5" w:rsidRDefault="00874E61" w:rsidP="00A92BEC">
      <w:pPr>
        <w:tabs>
          <w:tab w:val="left" w:pos="2328"/>
        </w:tabs>
        <w:rPr>
          <w:sz w:val="28"/>
          <w:szCs w:val="28"/>
        </w:rPr>
      </w:pPr>
      <w:r w:rsidRPr="00DA2FB5">
        <w:rPr>
          <w:sz w:val="28"/>
          <w:szCs w:val="28"/>
        </w:rPr>
        <w:t xml:space="preserve">A travers </w:t>
      </w:r>
      <w:r w:rsidR="00A94770" w:rsidRPr="00DA2FB5">
        <w:rPr>
          <w:sz w:val="28"/>
          <w:szCs w:val="28"/>
        </w:rPr>
        <w:t>l</w:t>
      </w:r>
      <w:r w:rsidRPr="00DA2FB5">
        <w:rPr>
          <w:sz w:val="28"/>
          <w:szCs w:val="28"/>
        </w:rPr>
        <w:t>es éclaircissements fournis par les cadres présents des deux départements ministériels sur l’ensemble des préoccupations apportés par les honorables conseillers lors des débats, le conseil national</w:t>
      </w:r>
      <w:r w:rsidR="006A178C">
        <w:rPr>
          <w:sz w:val="28"/>
          <w:szCs w:val="28"/>
        </w:rPr>
        <w:t xml:space="preserve"> de la transition (CNT)</w:t>
      </w:r>
      <w:r w:rsidRPr="00DA2FB5">
        <w:rPr>
          <w:sz w:val="28"/>
          <w:szCs w:val="28"/>
        </w:rPr>
        <w:t xml:space="preserve"> recommande ce qui suit :  </w:t>
      </w:r>
    </w:p>
    <w:p w:rsidR="00A94770" w:rsidRPr="00DA2FB5" w:rsidRDefault="00A94770" w:rsidP="00440DFD">
      <w:pPr>
        <w:pStyle w:val="Paragraphedeliste"/>
        <w:numPr>
          <w:ilvl w:val="0"/>
          <w:numId w:val="3"/>
        </w:numPr>
        <w:tabs>
          <w:tab w:val="left" w:pos="2328"/>
        </w:tabs>
        <w:spacing w:line="360" w:lineRule="auto"/>
        <w:rPr>
          <w:color w:val="000000" w:themeColor="text1"/>
          <w:sz w:val="28"/>
          <w:szCs w:val="28"/>
        </w:rPr>
      </w:pPr>
      <w:r w:rsidRPr="00DA2FB5">
        <w:rPr>
          <w:color w:val="000000" w:themeColor="text1"/>
          <w:sz w:val="28"/>
          <w:szCs w:val="28"/>
        </w:rPr>
        <w:t>Prévoir des réserves au cas où les termes de cet accord ne correspondent pas aux intérêts stratégiques du pays ;</w:t>
      </w:r>
    </w:p>
    <w:p w:rsidR="00A94770" w:rsidRPr="00DA2FB5" w:rsidRDefault="00A94770" w:rsidP="00440DFD">
      <w:pPr>
        <w:pStyle w:val="Paragraphedeliste"/>
        <w:numPr>
          <w:ilvl w:val="0"/>
          <w:numId w:val="3"/>
        </w:numPr>
        <w:tabs>
          <w:tab w:val="left" w:pos="2328"/>
        </w:tabs>
        <w:spacing w:line="360" w:lineRule="auto"/>
        <w:rPr>
          <w:color w:val="000000" w:themeColor="text1"/>
          <w:sz w:val="28"/>
          <w:szCs w:val="28"/>
        </w:rPr>
      </w:pPr>
      <w:r w:rsidRPr="00DA2FB5">
        <w:rPr>
          <w:color w:val="000000" w:themeColor="text1"/>
          <w:sz w:val="28"/>
          <w:szCs w:val="28"/>
        </w:rPr>
        <w:lastRenderedPageBreak/>
        <w:t>Accorder un suivi régulier de la mise en œuvre des prescri</w:t>
      </w:r>
      <w:r w:rsidR="007D01D3" w:rsidRPr="00DA2FB5">
        <w:rPr>
          <w:color w:val="000000" w:themeColor="text1"/>
          <w:sz w:val="28"/>
          <w:szCs w:val="28"/>
        </w:rPr>
        <w:t>ptions techniques contenu dans l</w:t>
      </w:r>
      <w:r w:rsidRPr="00DA2FB5">
        <w:rPr>
          <w:color w:val="000000" w:themeColor="text1"/>
          <w:sz w:val="28"/>
          <w:szCs w:val="28"/>
        </w:rPr>
        <w:t>e présent accord ;</w:t>
      </w:r>
    </w:p>
    <w:p w:rsidR="00B17275" w:rsidRPr="00DA2FB5" w:rsidRDefault="00B17275" w:rsidP="00440DFD">
      <w:pPr>
        <w:pStyle w:val="Paragraphedeliste"/>
        <w:numPr>
          <w:ilvl w:val="0"/>
          <w:numId w:val="3"/>
        </w:numPr>
        <w:tabs>
          <w:tab w:val="left" w:pos="2328"/>
        </w:tabs>
        <w:spacing w:line="360" w:lineRule="auto"/>
        <w:rPr>
          <w:color w:val="000000" w:themeColor="text1"/>
          <w:sz w:val="28"/>
          <w:szCs w:val="28"/>
        </w:rPr>
      </w:pPr>
      <w:r w:rsidRPr="00DA2FB5">
        <w:rPr>
          <w:color w:val="000000" w:themeColor="text1"/>
          <w:sz w:val="28"/>
          <w:szCs w:val="28"/>
        </w:rPr>
        <w:t xml:space="preserve">Veiller </w:t>
      </w:r>
      <w:r w:rsidR="007325AA" w:rsidRPr="00DA2FB5">
        <w:rPr>
          <w:color w:val="000000" w:themeColor="text1"/>
          <w:sz w:val="28"/>
          <w:szCs w:val="28"/>
        </w:rPr>
        <w:t>au renforcement de capacité du personnel local</w:t>
      </w:r>
      <w:r w:rsidRPr="00DA2FB5">
        <w:rPr>
          <w:color w:val="000000" w:themeColor="text1"/>
          <w:sz w:val="28"/>
          <w:szCs w:val="28"/>
        </w:rPr>
        <w:t xml:space="preserve"> afi</w:t>
      </w:r>
      <w:r w:rsidR="007D01D3" w:rsidRPr="00DA2FB5">
        <w:rPr>
          <w:color w:val="000000" w:themeColor="text1"/>
          <w:sz w:val="28"/>
          <w:szCs w:val="28"/>
        </w:rPr>
        <w:t>n de garantir une bonne mise en œuvre de cet accord en République de Guinée</w:t>
      </w:r>
      <w:r w:rsidRPr="00DA2FB5">
        <w:rPr>
          <w:color w:val="000000" w:themeColor="text1"/>
          <w:sz w:val="28"/>
          <w:szCs w:val="28"/>
        </w:rPr>
        <w:t> ;</w:t>
      </w:r>
    </w:p>
    <w:p w:rsidR="00A94770" w:rsidRPr="00DA2FB5" w:rsidRDefault="00890A73" w:rsidP="002A212F">
      <w:pPr>
        <w:pStyle w:val="Paragraphedeliste"/>
        <w:numPr>
          <w:ilvl w:val="0"/>
          <w:numId w:val="3"/>
        </w:numPr>
        <w:tabs>
          <w:tab w:val="left" w:pos="2328"/>
        </w:tabs>
        <w:spacing w:after="0" w:line="360" w:lineRule="auto"/>
        <w:rPr>
          <w:color w:val="000000" w:themeColor="text1"/>
          <w:sz w:val="28"/>
          <w:szCs w:val="28"/>
        </w:rPr>
      </w:pPr>
      <w:r>
        <w:rPr>
          <w:color w:val="000000" w:themeColor="text1"/>
          <w:sz w:val="28"/>
          <w:szCs w:val="28"/>
        </w:rPr>
        <w:t>Veiller à ce qu’il n’y ait</w:t>
      </w:r>
      <w:r w:rsidR="00A94770" w:rsidRPr="00DA2FB5">
        <w:rPr>
          <w:color w:val="000000" w:themeColor="text1"/>
          <w:sz w:val="28"/>
          <w:szCs w:val="28"/>
        </w:rPr>
        <w:t xml:space="preserve"> pas de conflits de compétences entre les différentes entités publiques et privées impliquées d</w:t>
      </w:r>
      <w:r w:rsidR="007D01D3" w:rsidRPr="00DA2FB5">
        <w:rPr>
          <w:color w:val="000000" w:themeColor="text1"/>
          <w:sz w:val="28"/>
          <w:szCs w:val="28"/>
        </w:rPr>
        <w:t>ans la mise en œuvre de cet accord</w:t>
      </w:r>
      <w:r w:rsidR="00A94770" w:rsidRPr="00DA2FB5">
        <w:rPr>
          <w:color w:val="000000" w:themeColor="text1"/>
          <w:sz w:val="28"/>
          <w:szCs w:val="28"/>
        </w:rPr>
        <w:t> ;</w:t>
      </w:r>
    </w:p>
    <w:p w:rsidR="009424BF" w:rsidRPr="00DA2FB5" w:rsidRDefault="009424BF" w:rsidP="00440DFD">
      <w:pPr>
        <w:tabs>
          <w:tab w:val="left" w:pos="2328"/>
        </w:tabs>
        <w:spacing w:line="360" w:lineRule="auto"/>
        <w:rPr>
          <w:color w:val="000000" w:themeColor="text1"/>
          <w:sz w:val="28"/>
          <w:szCs w:val="28"/>
        </w:rPr>
      </w:pPr>
      <w:r w:rsidRPr="00DA2FB5">
        <w:rPr>
          <w:color w:val="000000" w:themeColor="text1"/>
          <w:sz w:val="28"/>
          <w:szCs w:val="28"/>
        </w:rPr>
        <w:t>Dans un secteur dynamique envahi par une évolution continue qui est celui de l’information, de la communication et des télécommunications</w:t>
      </w:r>
      <w:r w:rsidR="006A178C">
        <w:rPr>
          <w:color w:val="000000" w:themeColor="text1"/>
          <w:sz w:val="28"/>
          <w:szCs w:val="28"/>
        </w:rPr>
        <w:t>,</w:t>
      </w:r>
      <w:r w:rsidRPr="00DA2FB5">
        <w:rPr>
          <w:color w:val="000000" w:themeColor="text1"/>
          <w:sz w:val="28"/>
          <w:szCs w:val="28"/>
        </w:rPr>
        <w:t xml:space="preserve"> </w:t>
      </w:r>
      <w:r w:rsidR="006A178C">
        <w:rPr>
          <w:color w:val="000000" w:themeColor="text1"/>
          <w:sz w:val="28"/>
          <w:szCs w:val="28"/>
        </w:rPr>
        <w:t>la commission</w:t>
      </w:r>
      <w:r w:rsidR="00420C61" w:rsidRPr="00DA2FB5">
        <w:rPr>
          <w:color w:val="000000" w:themeColor="text1"/>
          <w:sz w:val="28"/>
          <w:szCs w:val="28"/>
        </w:rPr>
        <w:t xml:space="preserve"> constate un retard de près de 19 ans entre la signature et la ratification</w:t>
      </w:r>
      <w:r w:rsidRPr="00DA2FB5">
        <w:rPr>
          <w:color w:val="000000" w:themeColor="text1"/>
          <w:sz w:val="28"/>
          <w:szCs w:val="28"/>
        </w:rPr>
        <w:t xml:space="preserve"> </w:t>
      </w:r>
      <w:r w:rsidR="00420C61" w:rsidRPr="00DA2FB5">
        <w:rPr>
          <w:color w:val="000000" w:themeColor="text1"/>
          <w:sz w:val="28"/>
          <w:szCs w:val="28"/>
        </w:rPr>
        <w:t>de l’accord GE 06</w:t>
      </w:r>
      <w:r w:rsidR="00DE352F" w:rsidRPr="00DA2FB5">
        <w:rPr>
          <w:color w:val="000000" w:themeColor="text1"/>
          <w:sz w:val="28"/>
          <w:szCs w:val="28"/>
        </w:rPr>
        <w:t xml:space="preserve"> par conséquent,</w:t>
      </w:r>
      <w:r w:rsidR="00420C61" w:rsidRPr="00DA2FB5">
        <w:rPr>
          <w:color w:val="000000" w:themeColor="text1"/>
          <w:sz w:val="28"/>
          <w:szCs w:val="28"/>
        </w:rPr>
        <w:t xml:space="preserve"> la commission de fond recommande au gouvernement : </w:t>
      </w:r>
      <w:r w:rsidRPr="00DA2FB5">
        <w:rPr>
          <w:color w:val="000000" w:themeColor="text1"/>
          <w:sz w:val="28"/>
          <w:szCs w:val="28"/>
        </w:rPr>
        <w:t xml:space="preserve"> </w:t>
      </w:r>
    </w:p>
    <w:p w:rsidR="00F03922" w:rsidRPr="002A212F" w:rsidRDefault="00420C61" w:rsidP="00440DFD">
      <w:pPr>
        <w:pStyle w:val="Paragraphedeliste"/>
        <w:numPr>
          <w:ilvl w:val="0"/>
          <w:numId w:val="4"/>
        </w:numPr>
        <w:tabs>
          <w:tab w:val="left" w:pos="2328"/>
        </w:tabs>
        <w:spacing w:line="240" w:lineRule="auto"/>
        <w:rPr>
          <w:color w:val="000000" w:themeColor="text1"/>
          <w:sz w:val="28"/>
          <w:szCs w:val="28"/>
        </w:rPr>
      </w:pPr>
      <w:r w:rsidRPr="00DA2FB5">
        <w:rPr>
          <w:color w:val="000000" w:themeColor="text1"/>
          <w:sz w:val="28"/>
          <w:szCs w:val="28"/>
        </w:rPr>
        <w:t>De prendre toutes les diligences possibles dans la ratification des accords signés par la République de Guinée et d’éviter dorénavant un si grand retard car</w:t>
      </w:r>
      <w:r w:rsidR="00DE352F" w:rsidRPr="00DA2FB5">
        <w:rPr>
          <w:color w:val="000000" w:themeColor="text1"/>
          <w:sz w:val="28"/>
          <w:szCs w:val="28"/>
        </w:rPr>
        <w:t xml:space="preserve"> u</w:t>
      </w:r>
      <w:r w:rsidR="00021F19" w:rsidRPr="00DA2FB5">
        <w:rPr>
          <w:color w:val="000000" w:themeColor="text1"/>
          <w:sz w:val="28"/>
          <w:szCs w:val="28"/>
        </w:rPr>
        <w:t>ne diligence allant dans l</w:t>
      </w:r>
      <w:r w:rsidR="00DE352F" w:rsidRPr="00DA2FB5">
        <w:rPr>
          <w:color w:val="000000" w:themeColor="text1"/>
          <w:sz w:val="28"/>
          <w:szCs w:val="28"/>
        </w:rPr>
        <w:t>e sens</w:t>
      </w:r>
      <w:r w:rsidR="00021F19" w:rsidRPr="00DA2FB5">
        <w:rPr>
          <w:color w:val="000000" w:themeColor="text1"/>
          <w:sz w:val="28"/>
          <w:szCs w:val="28"/>
        </w:rPr>
        <w:t xml:space="preserve"> de la proactivité</w:t>
      </w:r>
      <w:r w:rsidR="00DE352F" w:rsidRPr="00DA2FB5">
        <w:rPr>
          <w:color w:val="000000" w:themeColor="text1"/>
          <w:sz w:val="28"/>
          <w:szCs w:val="28"/>
        </w:rPr>
        <w:t xml:space="preserve"> pourrait nous faire</w:t>
      </w:r>
      <w:r w:rsidR="00EC05FE">
        <w:rPr>
          <w:color w:val="000000" w:themeColor="text1"/>
          <w:sz w:val="28"/>
          <w:szCs w:val="28"/>
        </w:rPr>
        <w:t xml:space="preserve"> éviter de prendre d’énormes coû</w:t>
      </w:r>
      <w:r w:rsidR="00DE352F" w:rsidRPr="00DA2FB5">
        <w:rPr>
          <w:color w:val="000000" w:themeColor="text1"/>
          <w:sz w:val="28"/>
          <w:szCs w:val="28"/>
        </w:rPr>
        <w:t>t</w:t>
      </w:r>
      <w:r w:rsidR="008212F3">
        <w:rPr>
          <w:color w:val="000000" w:themeColor="text1"/>
          <w:sz w:val="28"/>
          <w:szCs w:val="28"/>
        </w:rPr>
        <w:t xml:space="preserve">s supplémentaires et être </w:t>
      </w:r>
      <w:r w:rsidR="00DE352F" w:rsidRPr="00DA2FB5">
        <w:rPr>
          <w:color w:val="000000" w:themeColor="text1"/>
          <w:sz w:val="28"/>
          <w:szCs w:val="28"/>
        </w:rPr>
        <w:t xml:space="preserve"> à niveau de l’évolution du monde qui ne fait qu’être croissant avec la présence des innovations technologiques. </w:t>
      </w:r>
      <w:r w:rsidRPr="00DA2FB5">
        <w:rPr>
          <w:color w:val="000000" w:themeColor="text1"/>
          <w:sz w:val="28"/>
          <w:szCs w:val="28"/>
        </w:rPr>
        <w:t xml:space="preserve">  </w:t>
      </w:r>
    </w:p>
    <w:p w:rsidR="00440DFD" w:rsidRPr="00DA2FB5" w:rsidRDefault="002151F2" w:rsidP="00440DFD">
      <w:pPr>
        <w:tabs>
          <w:tab w:val="left" w:pos="2328"/>
        </w:tabs>
        <w:rPr>
          <w:b/>
          <w:color w:val="000000" w:themeColor="text1"/>
          <w:sz w:val="28"/>
          <w:szCs w:val="28"/>
        </w:rPr>
      </w:pPr>
      <w:r w:rsidRPr="00DA2FB5">
        <w:rPr>
          <w:b/>
          <w:color w:val="000000" w:themeColor="text1"/>
          <w:sz w:val="28"/>
          <w:szCs w:val="28"/>
        </w:rPr>
        <w:t xml:space="preserve">Monsieur le Président </w:t>
      </w:r>
    </w:p>
    <w:p w:rsidR="00440DFD" w:rsidRPr="00DA2FB5" w:rsidRDefault="00440DFD" w:rsidP="00440DFD">
      <w:pPr>
        <w:tabs>
          <w:tab w:val="left" w:pos="2328"/>
        </w:tabs>
        <w:rPr>
          <w:color w:val="000000" w:themeColor="text1"/>
          <w:sz w:val="28"/>
          <w:szCs w:val="28"/>
        </w:rPr>
      </w:pPr>
      <w:r w:rsidRPr="00DA2FB5">
        <w:rPr>
          <w:b/>
          <w:color w:val="000000" w:themeColor="text1"/>
          <w:sz w:val="28"/>
          <w:szCs w:val="28"/>
        </w:rPr>
        <w:t xml:space="preserve">Honorables conseillers nationaux ; </w:t>
      </w:r>
    </w:p>
    <w:p w:rsidR="00A92BEC" w:rsidRPr="00DA2FB5" w:rsidRDefault="00A92BEC" w:rsidP="00A92BEC">
      <w:pPr>
        <w:tabs>
          <w:tab w:val="left" w:pos="2328"/>
        </w:tabs>
        <w:rPr>
          <w:color w:val="000000" w:themeColor="text1"/>
          <w:sz w:val="28"/>
          <w:szCs w:val="28"/>
        </w:rPr>
      </w:pPr>
      <w:r w:rsidRPr="00DA2FB5">
        <w:rPr>
          <w:color w:val="000000" w:themeColor="text1"/>
          <w:sz w:val="28"/>
          <w:szCs w:val="28"/>
        </w:rPr>
        <w:t>Outre sa p</w:t>
      </w:r>
      <w:r w:rsidR="00227137">
        <w:rPr>
          <w:color w:val="000000" w:themeColor="text1"/>
          <w:sz w:val="28"/>
          <w:szCs w:val="28"/>
        </w:rPr>
        <w:t>ortée et son importance exposées</w:t>
      </w:r>
      <w:r w:rsidRPr="00DA2FB5">
        <w:rPr>
          <w:color w:val="000000" w:themeColor="text1"/>
          <w:sz w:val="28"/>
          <w:szCs w:val="28"/>
        </w:rPr>
        <w:t xml:space="preserve"> ou développées plus haut, la ratification de l’accord GE 06 permettra à la République de Guinée à l’instar des autres Pays signataires de cet accord de libérer les bandes de fréquence citées plus haut en vue d’une meilleure planification et d’une utilisation optimale des dites bandes étant donné qu’elles constituent des ressources publiques rares (qui ne se régénèrent pas). </w:t>
      </w:r>
    </w:p>
    <w:p w:rsidR="00A92BEC" w:rsidRPr="00DA2FB5" w:rsidRDefault="00A92BEC" w:rsidP="00A92BEC">
      <w:pPr>
        <w:tabs>
          <w:tab w:val="left" w:pos="2328"/>
        </w:tabs>
        <w:rPr>
          <w:color w:val="000000" w:themeColor="text1"/>
          <w:sz w:val="28"/>
          <w:szCs w:val="28"/>
        </w:rPr>
      </w:pPr>
      <w:r w:rsidRPr="00DA2FB5">
        <w:rPr>
          <w:color w:val="000000" w:themeColor="text1"/>
          <w:sz w:val="28"/>
          <w:szCs w:val="28"/>
        </w:rPr>
        <w:t>Au vu de tout ce qui précède il a été constaté avec évidence que  la non ratification de l’accord GE 06 suscitée jusqu’à date expose notre Pays, la République de Guinée a l’extinction ou à l’obligation d’extinction des signaux de radio et de la télévision nationale sur l’étendue du territoire nationale. Pour éviter tous ces désagréments et pour le bonheur de nos citoyens</w:t>
      </w:r>
      <w:r w:rsidR="00227137">
        <w:rPr>
          <w:color w:val="000000" w:themeColor="text1"/>
          <w:sz w:val="28"/>
          <w:szCs w:val="28"/>
        </w:rPr>
        <w:t>,</w:t>
      </w:r>
      <w:r w:rsidRPr="00DA2FB5">
        <w:rPr>
          <w:color w:val="000000" w:themeColor="text1"/>
          <w:sz w:val="28"/>
          <w:szCs w:val="28"/>
        </w:rPr>
        <w:t xml:space="preserve"> la </w:t>
      </w:r>
      <w:r w:rsidRPr="00DA2FB5">
        <w:rPr>
          <w:color w:val="000000" w:themeColor="text1"/>
          <w:sz w:val="28"/>
          <w:szCs w:val="28"/>
        </w:rPr>
        <w:lastRenderedPageBreak/>
        <w:t>commission</w:t>
      </w:r>
      <w:r w:rsidR="00457579">
        <w:rPr>
          <w:color w:val="000000" w:themeColor="text1"/>
          <w:sz w:val="28"/>
          <w:szCs w:val="28"/>
        </w:rPr>
        <w:t xml:space="preserve"> Affaires Economiques et du Développement Durable</w:t>
      </w:r>
      <w:r w:rsidRPr="00DA2FB5">
        <w:rPr>
          <w:color w:val="000000" w:themeColor="text1"/>
          <w:sz w:val="28"/>
          <w:szCs w:val="28"/>
        </w:rPr>
        <w:t xml:space="preserve"> invite les honorables conseillers</w:t>
      </w:r>
      <w:r w:rsidR="00227137">
        <w:rPr>
          <w:color w:val="000000" w:themeColor="text1"/>
          <w:sz w:val="28"/>
          <w:szCs w:val="28"/>
        </w:rPr>
        <w:t xml:space="preserve"> nationaux</w:t>
      </w:r>
      <w:r w:rsidRPr="00DA2FB5">
        <w:rPr>
          <w:color w:val="000000" w:themeColor="text1"/>
          <w:sz w:val="28"/>
          <w:szCs w:val="28"/>
        </w:rPr>
        <w:t xml:space="preserve"> à autoriser la ratification de l’accord régional GE 06.</w:t>
      </w:r>
    </w:p>
    <w:p w:rsidR="002A212F" w:rsidRDefault="00A92BEC" w:rsidP="00CB4CE6">
      <w:pPr>
        <w:tabs>
          <w:tab w:val="left" w:pos="2328"/>
        </w:tabs>
        <w:rPr>
          <w:b/>
          <w:sz w:val="28"/>
          <w:szCs w:val="28"/>
        </w:rPr>
      </w:pPr>
      <w:r w:rsidRPr="00DA2FB5">
        <w:rPr>
          <w:b/>
          <w:sz w:val="28"/>
          <w:szCs w:val="28"/>
        </w:rPr>
        <w:t>Je vous remercie</w:t>
      </w:r>
      <w:r w:rsidR="006F571E">
        <w:rPr>
          <w:b/>
          <w:sz w:val="28"/>
          <w:szCs w:val="28"/>
        </w:rPr>
        <w:t>.</w:t>
      </w:r>
    </w:p>
    <w:p w:rsidR="00440DFD" w:rsidRPr="00DA2FB5" w:rsidRDefault="00CB4CE6" w:rsidP="00CB4CE6">
      <w:pPr>
        <w:tabs>
          <w:tab w:val="left" w:pos="2328"/>
        </w:tabs>
        <w:rPr>
          <w:b/>
          <w:sz w:val="28"/>
          <w:szCs w:val="28"/>
        </w:rPr>
      </w:pPr>
      <w:r w:rsidRPr="00DA2FB5">
        <w:rPr>
          <w:b/>
          <w:sz w:val="28"/>
          <w:szCs w:val="28"/>
        </w:rPr>
        <w:t>La commission</w:t>
      </w:r>
    </w:p>
    <w:sectPr w:rsidR="00440DFD" w:rsidRPr="00DA2FB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469" w:rsidRDefault="007F3469" w:rsidP="00587058">
      <w:pPr>
        <w:spacing w:after="0" w:line="240" w:lineRule="auto"/>
      </w:pPr>
      <w:r>
        <w:separator/>
      </w:r>
    </w:p>
  </w:endnote>
  <w:endnote w:type="continuationSeparator" w:id="0">
    <w:p w:rsidR="007F3469" w:rsidRDefault="007F3469" w:rsidP="0058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432814"/>
      <w:docPartObj>
        <w:docPartGallery w:val="Page Numbers (Bottom of Page)"/>
        <w:docPartUnique/>
      </w:docPartObj>
    </w:sdtPr>
    <w:sdtEndPr/>
    <w:sdtContent>
      <w:p w:rsidR="006E3FDC" w:rsidRDefault="006E3FDC">
        <w:pPr>
          <w:pStyle w:val="Pieddepage"/>
          <w:jc w:val="right"/>
        </w:pPr>
        <w:r>
          <w:fldChar w:fldCharType="begin"/>
        </w:r>
        <w:r>
          <w:instrText>PAGE   \* MERGEFORMAT</w:instrText>
        </w:r>
        <w:r>
          <w:fldChar w:fldCharType="separate"/>
        </w:r>
        <w:r w:rsidR="00DC56D2">
          <w:rPr>
            <w:noProof/>
          </w:rPr>
          <w:t>8</w:t>
        </w:r>
        <w:r>
          <w:fldChar w:fldCharType="end"/>
        </w:r>
      </w:p>
    </w:sdtContent>
  </w:sdt>
  <w:p w:rsidR="006E3FDC" w:rsidRDefault="006E3FD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469" w:rsidRDefault="007F3469" w:rsidP="00587058">
      <w:pPr>
        <w:spacing w:after="0" w:line="240" w:lineRule="auto"/>
      </w:pPr>
      <w:r>
        <w:separator/>
      </w:r>
    </w:p>
  </w:footnote>
  <w:footnote w:type="continuationSeparator" w:id="0">
    <w:p w:rsidR="007F3469" w:rsidRDefault="007F3469" w:rsidP="00587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E2D5D"/>
    <w:multiLevelType w:val="hybridMultilevel"/>
    <w:tmpl w:val="843EBC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E900FA"/>
    <w:multiLevelType w:val="hybridMultilevel"/>
    <w:tmpl w:val="02885F4C"/>
    <w:lvl w:ilvl="0" w:tplc="C4FCAD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1D5478"/>
    <w:multiLevelType w:val="hybridMultilevel"/>
    <w:tmpl w:val="F81C06BE"/>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3" w15:restartNumberingAfterBreak="0">
    <w:nsid w:val="5D026A41"/>
    <w:multiLevelType w:val="hybridMultilevel"/>
    <w:tmpl w:val="32184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8241BF"/>
    <w:multiLevelType w:val="hybridMultilevel"/>
    <w:tmpl w:val="D15C6E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B55E9E"/>
    <w:multiLevelType w:val="hybridMultilevel"/>
    <w:tmpl w:val="12F6B4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BEC"/>
    <w:rsid w:val="00012230"/>
    <w:rsid w:val="00021F19"/>
    <w:rsid w:val="000755D1"/>
    <w:rsid w:val="000A579F"/>
    <w:rsid w:val="000E465F"/>
    <w:rsid w:val="00101036"/>
    <w:rsid w:val="00127295"/>
    <w:rsid w:val="001770E1"/>
    <w:rsid w:val="002151F2"/>
    <w:rsid w:val="00227137"/>
    <w:rsid w:val="00267350"/>
    <w:rsid w:val="00271063"/>
    <w:rsid w:val="002A212F"/>
    <w:rsid w:val="002C62FC"/>
    <w:rsid w:val="003342FE"/>
    <w:rsid w:val="00397F52"/>
    <w:rsid w:val="003B2B9E"/>
    <w:rsid w:val="00420C61"/>
    <w:rsid w:val="00440DFD"/>
    <w:rsid w:val="00457579"/>
    <w:rsid w:val="00493C3C"/>
    <w:rsid w:val="004C54C3"/>
    <w:rsid w:val="004D05C7"/>
    <w:rsid w:val="00587058"/>
    <w:rsid w:val="005C37D8"/>
    <w:rsid w:val="005C6758"/>
    <w:rsid w:val="005D626F"/>
    <w:rsid w:val="006041E9"/>
    <w:rsid w:val="006A178C"/>
    <w:rsid w:val="006B5643"/>
    <w:rsid w:val="006E3FDC"/>
    <w:rsid w:val="006F571E"/>
    <w:rsid w:val="007250AD"/>
    <w:rsid w:val="007325AA"/>
    <w:rsid w:val="00740A09"/>
    <w:rsid w:val="00790A1D"/>
    <w:rsid w:val="007D01D3"/>
    <w:rsid w:val="007F3469"/>
    <w:rsid w:val="008212F3"/>
    <w:rsid w:val="00874E61"/>
    <w:rsid w:val="00890A73"/>
    <w:rsid w:val="008C25EB"/>
    <w:rsid w:val="008C6EE5"/>
    <w:rsid w:val="00913783"/>
    <w:rsid w:val="009424BF"/>
    <w:rsid w:val="00943B87"/>
    <w:rsid w:val="009A4963"/>
    <w:rsid w:val="009A4EDA"/>
    <w:rsid w:val="009D2EBE"/>
    <w:rsid w:val="00A92BEC"/>
    <w:rsid w:val="00A94770"/>
    <w:rsid w:val="00B17275"/>
    <w:rsid w:val="00B93289"/>
    <w:rsid w:val="00BD40DD"/>
    <w:rsid w:val="00C578DB"/>
    <w:rsid w:val="00C74E39"/>
    <w:rsid w:val="00CA001E"/>
    <w:rsid w:val="00CB4CE6"/>
    <w:rsid w:val="00D32382"/>
    <w:rsid w:val="00D32590"/>
    <w:rsid w:val="00D42DE9"/>
    <w:rsid w:val="00D67CFB"/>
    <w:rsid w:val="00D8747E"/>
    <w:rsid w:val="00DA2FB5"/>
    <w:rsid w:val="00DC56D2"/>
    <w:rsid w:val="00DE2CEA"/>
    <w:rsid w:val="00DE352F"/>
    <w:rsid w:val="00DF71E1"/>
    <w:rsid w:val="00E1667A"/>
    <w:rsid w:val="00E91D47"/>
    <w:rsid w:val="00EC05FE"/>
    <w:rsid w:val="00ED338C"/>
    <w:rsid w:val="00F03922"/>
    <w:rsid w:val="00FB2976"/>
    <w:rsid w:val="00FD23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91359-57FB-4A44-808F-E3769E3D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B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2BEC"/>
    <w:pPr>
      <w:ind w:left="720"/>
      <w:contextualSpacing/>
    </w:pPr>
  </w:style>
  <w:style w:type="paragraph" w:styleId="En-tte">
    <w:name w:val="header"/>
    <w:basedOn w:val="Normal"/>
    <w:link w:val="En-tteCar"/>
    <w:uiPriority w:val="99"/>
    <w:unhideWhenUsed/>
    <w:rsid w:val="00587058"/>
    <w:pPr>
      <w:tabs>
        <w:tab w:val="center" w:pos="4536"/>
        <w:tab w:val="right" w:pos="9072"/>
      </w:tabs>
      <w:spacing w:after="0" w:line="240" w:lineRule="auto"/>
    </w:pPr>
  </w:style>
  <w:style w:type="character" w:customStyle="1" w:styleId="En-tteCar">
    <w:name w:val="En-tête Car"/>
    <w:basedOn w:val="Policepardfaut"/>
    <w:link w:val="En-tte"/>
    <w:uiPriority w:val="99"/>
    <w:rsid w:val="00587058"/>
  </w:style>
  <w:style w:type="paragraph" w:styleId="Pieddepage">
    <w:name w:val="footer"/>
    <w:basedOn w:val="Normal"/>
    <w:link w:val="PieddepageCar"/>
    <w:uiPriority w:val="99"/>
    <w:unhideWhenUsed/>
    <w:rsid w:val="005870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7058"/>
  </w:style>
  <w:style w:type="paragraph" w:styleId="Textedebulles">
    <w:name w:val="Balloon Text"/>
    <w:basedOn w:val="Normal"/>
    <w:link w:val="TextedebullesCar"/>
    <w:uiPriority w:val="99"/>
    <w:semiHidden/>
    <w:unhideWhenUsed/>
    <w:rsid w:val="000755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5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8</Pages>
  <Words>1667</Words>
  <Characters>9171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147</cp:revision>
  <cp:lastPrinted>2025-02-28T12:16:00Z</cp:lastPrinted>
  <dcterms:created xsi:type="dcterms:W3CDTF">2025-02-13T11:28:00Z</dcterms:created>
  <dcterms:modified xsi:type="dcterms:W3CDTF">2025-02-28T15:16:00Z</dcterms:modified>
</cp:coreProperties>
</file>