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entury Gothic" w:cs="Century Gothic" w:eastAsia="Century Gothic" w:hAnsi="Century Gothic"/>
          <w:b w:val="1"/>
          <w:bCs w:val="1"/>
          <w:i w:val="0"/>
          <w:iCs w:val="0"/>
          <w:smallCaps w:val="0"/>
          <w:strike w:val="0"/>
          <w:color w:val="ff0000"/>
          <w:sz w:val="26"/>
          <w:szCs w:val="26"/>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ff0000"/>
          <w:sz w:val="26"/>
          <w:szCs w:val="26"/>
          <w:u w:val="none"/>
          <w:shd w:fill="auto" w:val="clear"/>
          <w:vertAlign w:val="baseline"/>
        </w:rPr>
        <w:drawing>
          <wp:inline distB="0" distT="0" distL="0" distR="0">
            <wp:extent cx="952500" cy="977900"/>
            <wp:effectExtent b="0" l="0" r="0" t="0"/>
            <wp:docPr descr="Image 1" id="1" name="image1.png"/>
            <a:graphic>
              <a:graphicData uri="http://schemas.openxmlformats.org/drawingml/2006/picture">
                <pic:pic>
                  <pic:nvPicPr>
                    <pic:cNvPr descr="Image 1" id="0" name="image1.png"/>
                    <pic:cNvPicPr preferRelativeResize="0"/>
                  </pic:nvPicPr>
                  <pic:blipFill>
                    <a:blip r:embed="rId6"/>
                    <a:srcRect b="0" l="0" r="0" t="0"/>
                    <a:stretch>
                      <a:fillRect/>
                    </a:stretch>
                  </pic:blipFill>
                  <pic:spPr>
                    <a:xfrm>
                      <a:off x="0" y="0"/>
                      <a:ext cx="952500" cy="977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entury Gothic" w:cs="Century Gothic" w:eastAsia="Century Gothic" w:hAnsi="Century Gothic"/>
          <w:b w:val="1"/>
          <w:bCs w:val="1"/>
          <w:i w:val="0"/>
          <w:iCs w:val="0"/>
          <w:smallCaps w:val="0"/>
          <w:strike w:val="0"/>
          <w:color w:val="ff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entury Gothic" w:cs="Century Gothic" w:eastAsia="Century Gothic" w:hAnsi="Century Gothic"/>
          <w:b w:val="1"/>
          <w:bCs w:val="1"/>
          <w:i w:val="0"/>
          <w:iCs w:val="0"/>
          <w:smallCaps w:val="0"/>
          <w:strike w:val="0"/>
          <w:color w:val="000000"/>
          <w:sz w:val="26"/>
          <w:szCs w:val="26"/>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6"/>
          <w:szCs w:val="26"/>
          <w:u w:val="none"/>
          <w:shd w:fill="auto" w:val="clear"/>
          <w:vertAlign w:val="baseline"/>
          <w:rtl w:val="0"/>
        </w:rPr>
        <w:t xml:space="preserve">REPUBLIQUE DE GUINEE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entury Gothic" w:cs="Century Gothic" w:eastAsia="Century Gothic" w:hAnsi="Century Gothic"/>
          <w:b w:val="0"/>
          <w:bCs w:val="0"/>
          <w:i w:val="0"/>
          <w:iCs w:val="0"/>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18"/>
          <w:szCs w:val="18"/>
          <w:u w:val="none"/>
          <w:shd w:fill="auto" w:val="clear"/>
          <w:vertAlign w:val="baseline"/>
          <w:rtl w:val="0"/>
        </w:rPr>
        <w:t xml:space="preserve">Travail - Justice - Solidarité</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entury Gothic" w:cs="Century Gothic" w:eastAsia="Century Gothic" w:hAnsi="Century Gothic"/>
          <w:b w:val="1"/>
          <w:bCs w:val="1"/>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entury Gothic" w:cs="Century Gothic" w:eastAsia="Century Gothic" w:hAnsi="Century Gothic"/>
          <w:b w:val="1"/>
          <w:bCs w:val="1"/>
          <w:i w:val="0"/>
          <w:iCs w:val="0"/>
          <w:smallCaps w:val="0"/>
          <w:strike w:val="0"/>
          <w:color w:val="000000"/>
          <w:sz w:val="28"/>
          <w:szCs w:val="28"/>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8"/>
          <w:szCs w:val="28"/>
          <w:u w:val="none"/>
          <w:shd w:fill="auto" w:val="clear"/>
          <w:vertAlign w:val="baseline"/>
          <w:rtl w:val="0"/>
        </w:rPr>
        <w:t xml:space="preserve">MINISTERE DE L’ECONOMIE, DES FINANCES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Century Gothic" w:cs="Century Gothic" w:eastAsia="Century Gothic" w:hAnsi="Century Gothic"/>
          <w:b w:val="1"/>
          <w:bCs w:val="1"/>
          <w:i w:val="0"/>
          <w:iCs w:val="0"/>
          <w:smallCaps w:val="0"/>
          <w:strike w:val="0"/>
          <w:color w:val="000000"/>
          <w:sz w:val="26"/>
          <w:szCs w:val="26"/>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8"/>
          <w:szCs w:val="28"/>
          <w:u w:val="none"/>
          <w:shd w:fill="auto" w:val="clear"/>
          <w:vertAlign w:val="baseline"/>
          <w:rtl w:val="0"/>
        </w:rPr>
        <w:t xml:space="preserve">ET DU BUDGET</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both"/>
        <w:rPr>
          <w:rFonts w:ascii="Century Gothic" w:cs="Century Gothic" w:eastAsia="Century Gothic" w:hAnsi="Century Gothic"/>
          <w:b w:val="1"/>
          <w:bCs w:val="1"/>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entury Gothic" w:cs="Century Gothic" w:eastAsia="Century Gothic" w:hAnsi="Century Gothic"/>
          <w:b w:val="1"/>
          <w:bCs w:val="1"/>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both"/>
        <w:rPr>
          <w:rFonts w:ascii="Century Gothic" w:cs="Century Gothic" w:eastAsia="Century Gothic" w:hAnsi="Century Gothic"/>
          <w:b w:val="1"/>
          <w:bCs w:val="1"/>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both"/>
        <w:rPr>
          <w:rFonts w:ascii="Century Gothic" w:cs="Century Gothic" w:eastAsia="Century Gothic" w:hAnsi="Century Gothic"/>
          <w:b w:val="1"/>
          <w:bCs w:val="1"/>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color="000000" w:space="0" w:sz="18" w:val="single"/>
          <w:left w:color="000000" w:space="0" w:sz="18" w:val="single"/>
          <w:bottom w:color="000000" w:space="31" w:sz="18" w:val="single"/>
          <w:right w:color="000000" w:space="11" w:sz="18" w:val="single"/>
          <w:between w:space="0" w:sz="0" w:val="nil"/>
        </w:pBdr>
        <w:shd w:fill="auto" w:val="clear"/>
        <w:spacing w:after="0" w:before="0" w:line="276" w:lineRule="auto"/>
        <w:ind w:left="0" w:right="0" w:firstLine="0"/>
        <w:jc w:val="center"/>
        <w:rPr>
          <w:rFonts w:ascii="Century Gothic" w:cs="Century Gothic" w:eastAsia="Century Gothic" w:hAnsi="Century Gothic"/>
          <w:b w:val="1"/>
          <w:bCs w:val="1"/>
          <w:i w:val="0"/>
          <w:iCs w:val="0"/>
          <w:smallCaps w:val="0"/>
          <w:strike w:val="0"/>
          <w:color w:val="000000"/>
          <w:sz w:val="40"/>
          <w:szCs w:val="40"/>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40"/>
          <w:szCs w:val="40"/>
          <w:u w:val="none"/>
          <w:shd w:fill="auto" w:val="clear"/>
          <w:vertAlign w:val="baseline"/>
          <w:rtl w:val="0"/>
        </w:rPr>
        <w:t xml:space="preserve">PROJET DE LOI DE FINANCES RECTIFICATIVE 2026</w:t>
      </w:r>
    </w:p>
    <w:p w:rsidR="00000000" w:rsidDel="00000000" w:rsidP="00000000" w:rsidRDefault="00000000" w:rsidRPr="00000000" w14:paraId="0000000D">
      <w:pPr>
        <w:keepNext w:val="0"/>
        <w:keepLines w:val="0"/>
        <w:pageBreakBefore w:val="0"/>
        <w:widowControl w:val="1"/>
        <w:pBdr>
          <w:top w:color="000000" w:space="0" w:sz="18" w:val="single"/>
          <w:left w:color="000000" w:space="0" w:sz="18" w:val="single"/>
          <w:bottom w:color="000000" w:space="31" w:sz="18" w:val="single"/>
          <w:right w:color="000000" w:space="11" w:sz="18" w:val="single"/>
          <w:between w:space="0" w:sz="0" w:val="nil"/>
        </w:pBdr>
        <w:shd w:fill="auto" w:val="clear"/>
        <w:spacing w:after="0" w:before="0" w:line="276" w:lineRule="auto"/>
        <w:ind w:left="0" w:right="0" w:firstLine="0"/>
        <w:jc w:val="center"/>
        <w:rPr>
          <w:rFonts w:ascii="Century Gothic" w:cs="Century Gothic" w:eastAsia="Century Gothic" w:hAnsi="Century Gothic"/>
          <w:b w:val="1"/>
          <w:bCs w:val="1"/>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color="000000" w:space="0" w:sz="18" w:val="single"/>
          <w:left w:color="000000" w:space="0" w:sz="18" w:val="single"/>
          <w:bottom w:color="000000" w:space="31" w:sz="18" w:val="single"/>
          <w:right w:color="000000" w:space="11" w:sz="18" w:val="single"/>
          <w:between w:space="0" w:sz="0" w:val="nil"/>
        </w:pBdr>
        <w:shd w:fill="auto" w:val="clear"/>
        <w:spacing w:after="0" w:before="0" w:line="276" w:lineRule="auto"/>
        <w:ind w:left="0" w:right="0" w:firstLine="0"/>
        <w:jc w:val="center"/>
        <w:rPr>
          <w:rFonts w:ascii="Century Gothic" w:cs="Century Gothic" w:eastAsia="Century Gothic" w:hAnsi="Century Gothic"/>
          <w:b w:val="1"/>
          <w:bCs w:val="1"/>
          <w:i w:val="0"/>
          <w:iCs w:val="0"/>
          <w:smallCaps w:val="0"/>
          <w:strike w:val="0"/>
          <w:color w:val="000000"/>
          <w:sz w:val="32"/>
          <w:szCs w:val="3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32"/>
          <w:szCs w:val="32"/>
          <w:u w:val="none"/>
          <w:shd w:fill="auto" w:val="clear"/>
          <w:vertAlign w:val="baseline"/>
          <w:rtl w:val="0"/>
        </w:rPr>
        <w:t xml:space="preserve">COMMUNICATION DE MADAME LA MINISTRE DE L’ECONOMIE, DES FINANCES ET DU BUDGET </w:t>
      </w:r>
    </w:p>
    <w:p w:rsidR="00000000" w:rsidDel="00000000" w:rsidP="00000000" w:rsidRDefault="00000000" w:rsidRPr="00000000" w14:paraId="0000000F">
      <w:pPr>
        <w:keepNext w:val="0"/>
        <w:keepLines w:val="0"/>
        <w:pageBreakBefore w:val="0"/>
        <w:widowControl w:val="1"/>
        <w:pBdr>
          <w:top w:color="000000" w:space="0" w:sz="18" w:val="single"/>
          <w:left w:color="000000" w:space="0" w:sz="18" w:val="single"/>
          <w:bottom w:color="000000" w:space="31" w:sz="18" w:val="single"/>
          <w:right w:color="000000" w:space="11" w:sz="18" w:val="single"/>
          <w:between w:space="0" w:sz="0" w:val="nil"/>
        </w:pBdr>
        <w:shd w:fill="auto" w:val="clear"/>
        <w:spacing w:after="0" w:before="0" w:line="276" w:lineRule="auto"/>
        <w:ind w:left="0" w:right="0" w:firstLine="0"/>
        <w:jc w:val="center"/>
        <w:rPr>
          <w:rFonts w:ascii="Century Gothic" w:cs="Century Gothic" w:eastAsia="Century Gothic" w:hAnsi="Century Gothic"/>
          <w:b w:val="1"/>
          <w:bCs w:val="1"/>
          <w:i w:val="0"/>
          <w:iCs w:val="0"/>
          <w:smallCaps w:val="0"/>
          <w:strike w:val="0"/>
          <w:color w:val="000000"/>
          <w:sz w:val="32"/>
          <w:szCs w:val="3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32"/>
          <w:szCs w:val="32"/>
          <w:u w:val="none"/>
          <w:shd w:fill="auto" w:val="clear"/>
          <w:vertAlign w:val="baseline"/>
          <w:rtl w:val="0"/>
        </w:rPr>
        <w:t xml:space="preserve">A L’OCCASION DE LA SEANCE CONSACREE A L’ADOPTION DU PROJET DE LOI DE FINANCES RECTIFICATIVE (PLFR) 2026</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ind w:right="32"/>
        <w:jc w:val="center"/>
        <w:rPr>
          <w:rFonts w:ascii="Century Gothic" w:cs="Century Gothic" w:eastAsia="Century Gothic" w:hAnsi="Century Gothic"/>
          <w:b w:val="1"/>
          <w:bCs w:val="1"/>
          <w:sz w:val="30"/>
          <w:szCs w:val="30"/>
          <w:u w:val="single"/>
        </w:rPr>
      </w:pPr>
      <w:r w:rsidDel="00000000" w:rsidR="00000000" w:rsidRPr="00000000">
        <w:rPr>
          <w:rFonts w:ascii="Century Gothic" w:cs="Century Gothic" w:eastAsia="Century Gothic" w:hAnsi="Century Gothic"/>
          <w:b w:val="1"/>
          <w:bCs w:val="1"/>
          <w:sz w:val="30"/>
          <w:szCs w:val="30"/>
          <w:u w:val="single"/>
          <w:rtl w:val="0"/>
        </w:rPr>
        <w:t xml:space="preserve">Mariama Ciré SYLLA</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A">
      <w:pPr>
        <w:spacing w:after="100" w:lineRule="auto"/>
        <w:jc w:val="center"/>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Novembre 2026</w:t>
      </w:r>
    </w:p>
    <w:p w:rsidR="00000000" w:rsidDel="00000000" w:rsidP="00000000" w:rsidRDefault="00000000" w:rsidRPr="00000000" w14:paraId="0000001B">
      <w:pPr>
        <w:spacing w:after="100" w:lineRule="auto"/>
        <w:jc w:val="center"/>
        <w:rPr>
          <w:rFonts w:ascii="Century Gothic" w:cs="Century Gothic" w:eastAsia="Century Gothic" w:hAnsi="Century Gothic"/>
          <w:b w:val="1"/>
          <w:bCs w:val="1"/>
          <w:sz w:val="26"/>
          <w:szCs w:val="26"/>
        </w:rPr>
      </w:pPr>
      <w:r w:rsidDel="00000000" w:rsidR="00000000" w:rsidRPr="00000000">
        <w:rPr>
          <w:rtl w:val="0"/>
        </w:rPr>
      </w:r>
    </w:p>
    <w:p w:rsidR="00000000" w:rsidDel="00000000" w:rsidP="00000000" w:rsidRDefault="00000000" w:rsidRPr="00000000" w14:paraId="0000001C">
      <w:pPr>
        <w:rPr>
          <w:rFonts w:ascii="Century Gothic" w:cs="Century Gothic" w:eastAsia="Century Gothic" w:hAnsi="Century Gothic"/>
          <w:b w:val="1"/>
          <w:bCs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1D">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Monsieur le Président de l’Assemblée nationale,</w:t>
      </w:r>
    </w:p>
    <w:p w:rsidR="00000000" w:rsidDel="00000000" w:rsidP="00000000" w:rsidRDefault="00000000" w:rsidRPr="00000000" w14:paraId="0000001E">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Honorables Députés,</w:t>
      </w:r>
    </w:p>
    <w:p w:rsidR="00000000" w:rsidDel="00000000" w:rsidP="00000000" w:rsidRDefault="00000000" w:rsidRPr="00000000" w14:paraId="0000001F">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Mesdames et Messieurs les membres du Gouvernement, </w:t>
      </w:r>
    </w:p>
    <w:p w:rsidR="00000000" w:rsidDel="00000000" w:rsidP="00000000" w:rsidRDefault="00000000" w:rsidRPr="00000000" w14:paraId="00000020">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Monsieur le Gouverneur de la Banque Centrale de la République de Guinée,</w:t>
      </w:r>
    </w:p>
    <w:p w:rsidR="00000000" w:rsidDel="00000000" w:rsidP="00000000" w:rsidRDefault="00000000" w:rsidRPr="00000000" w14:paraId="00000021">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Monsieur le Ministre Conseiller à la Présidence de la République, chargé des Relations avec les Institutions républicaines,</w:t>
      </w:r>
    </w:p>
    <w:p w:rsidR="00000000" w:rsidDel="00000000" w:rsidP="00000000" w:rsidRDefault="00000000" w:rsidRPr="00000000" w14:paraId="00000022">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Madame la Gouverneure de la Ville de Conakry,</w:t>
      </w:r>
    </w:p>
    <w:p w:rsidR="00000000" w:rsidDel="00000000" w:rsidP="00000000" w:rsidRDefault="00000000" w:rsidRPr="00000000" w14:paraId="00000023">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Mesdames et Messieurs les hauts cadres de l’Administration publique,</w:t>
      </w:r>
    </w:p>
    <w:p w:rsidR="00000000" w:rsidDel="00000000" w:rsidP="00000000" w:rsidRDefault="00000000" w:rsidRPr="00000000" w14:paraId="00000024">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Mesdames et Messieurs les membres du personnel de l’administration parlementaire,</w:t>
      </w:r>
    </w:p>
    <w:p w:rsidR="00000000" w:rsidDel="00000000" w:rsidP="00000000" w:rsidRDefault="00000000" w:rsidRPr="00000000" w14:paraId="00000025">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Mesdames et Messieurs les représentants du secteur privé et de la société civile,</w:t>
      </w:r>
    </w:p>
    <w:p w:rsidR="00000000" w:rsidDel="00000000" w:rsidP="00000000" w:rsidRDefault="00000000" w:rsidRPr="00000000" w14:paraId="00000026">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Mesdames et Messieurs les représentants de la presse,</w:t>
      </w:r>
    </w:p>
    <w:p w:rsidR="00000000" w:rsidDel="00000000" w:rsidP="00000000" w:rsidRDefault="00000000" w:rsidRPr="00000000" w14:paraId="00000027">
      <w:pPr>
        <w:spacing w:after="100" w:lineRule="auto"/>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Mesdames et Messieurs,</w:t>
      </w:r>
    </w:p>
    <w:p w:rsidR="00000000" w:rsidDel="00000000" w:rsidP="00000000" w:rsidRDefault="00000000" w:rsidRPr="00000000" w14:paraId="00000028">
      <w:pPr>
        <w:spacing w:after="100" w:lineRule="auto"/>
        <w:rPr>
          <w:rFonts w:ascii="Century Gothic" w:cs="Century Gothic" w:eastAsia="Century Gothic" w:hAnsi="Century Gothic"/>
          <w:sz w:val="26"/>
          <w:szCs w:val="26"/>
        </w:rPr>
      </w:pPr>
      <w:r w:rsidDel="00000000" w:rsidR="00000000" w:rsidRPr="00000000">
        <w:rPr>
          <w:rtl w:val="0"/>
        </w:rPr>
      </w:r>
    </w:p>
    <w:p w:rsidR="00000000" w:rsidDel="00000000" w:rsidP="00000000" w:rsidRDefault="00000000" w:rsidRPr="00000000" w14:paraId="00000029">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Le samedi 24 octobre 2026, j’ai eu l’honneur de présenter devant votre auguste Assemblée les grandes orientations du Projet de Loi de Finances Rectificative pour l’exercice 2026. Conformément à l’agenda établi, les commissions ont procédé à un examen approfondi de ce projet, dans un climat d’échanges constructifs, empreint de rigueur et de transparence.</w:t>
      </w:r>
    </w:p>
    <w:p w:rsidR="00000000" w:rsidDel="00000000" w:rsidP="00000000" w:rsidRDefault="00000000" w:rsidRPr="00000000" w14:paraId="0000002A">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Je voudrais, d’entrée de jeu, souligner la portée de ce texte. Cette loi de finances rectificative n’est pas un simple exercice d’ajustement comptable. Elle est un </w:t>
      </w:r>
      <w:r w:rsidDel="00000000" w:rsidR="00000000" w:rsidRPr="00000000">
        <w:rPr>
          <w:rFonts w:ascii="Century Gothic" w:cs="Century Gothic" w:eastAsia="Century Gothic" w:hAnsi="Century Gothic"/>
          <w:b w:val="1"/>
          <w:bCs w:val="1"/>
          <w:sz w:val="24"/>
          <w:szCs w:val="24"/>
          <w:rtl w:val="0"/>
        </w:rPr>
        <w:t xml:space="preserve">acte de réorientation stratégique</w:t>
      </w:r>
      <w:r w:rsidDel="00000000" w:rsidR="00000000" w:rsidRPr="00000000">
        <w:rPr>
          <w:rFonts w:ascii="Century Gothic" w:cs="Century Gothic" w:eastAsia="Century Gothic" w:hAnsi="Century Gothic"/>
          <w:sz w:val="24"/>
          <w:szCs w:val="24"/>
          <w:rtl w:val="0"/>
        </w:rPr>
        <w:t xml:space="preserve"> : elle réaligne nos ressources sur ce qui compte le plus pour nos concitoyens, au moment où notre pays aborde, avec l’exploitation du minerai de fer de Simandou, une étape décisive de son histoire économique.</w:t>
      </w:r>
    </w:p>
    <w:p w:rsidR="00000000" w:rsidDel="00000000" w:rsidP="00000000" w:rsidRDefault="00000000" w:rsidRPr="00000000" w14:paraId="0000002B">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Cette étape ouvre des perspectives nouvelles. Elle nous impose aussi une responsabilité nouvelle : celle de transformer la richesse de notre sous-sol en progrès tangibles pour chaque Guinéen, dans chaque localité. C’est la boussole qui a guidé l’ensemble des arbitrages de ce projet de loi.</w:t>
      </w:r>
    </w:p>
    <w:p w:rsidR="00000000" w:rsidDel="00000000" w:rsidP="00000000" w:rsidRDefault="00000000" w:rsidRPr="00000000" w14:paraId="0000002C">
      <w:pPr>
        <w:keepNext w:val="1"/>
        <w:spacing w:after="120" w:befor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Un dialogue exigeant, au service de la crédibilité du budget</w:t>
      </w:r>
      <w:r w:rsidDel="00000000" w:rsidR="00000000" w:rsidRPr="00000000">
        <w:rPr>
          <w:rtl w:val="0"/>
        </w:rPr>
      </w:r>
    </w:p>
    <w:p w:rsidR="00000000" w:rsidDel="00000000" w:rsidP="00000000" w:rsidRDefault="00000000" w:rsidRPr="00000000" w14:paraId="0000002D">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Concernant les recettes</w:t>
      </w:r>
      <w:r w:rsidDel="00000000" w:rsidR="00000000" w:rsidRPr="00000000">
        <w:rPr>
          <w:rFonts w:ascii="Century Gothic" w:cs="Century Gothic" w:eastAsia="Century Gothic" w:hAnsi="Century Gothic"/>
          <w:sz w:val="24"/>
          <w:szCs w:val="24"/>
          <w:rtl w:val="0"/>
        </w:rPr>
        <w:t xml:space="preserve">, elles sont réévaluées à </w:t>
      </w:r>
      <w:r w:rsidDel="00000000" w:rsidR="00000000" w:rsidRPr="00000000">
        <w:rPr>
          <w:rFonts w:ascii="Century Gothic" w:cs="Century Gothic" w:eastAsia="Century Gothic" w:hAnsi="Century Gothic"/>
          <w:b w:val="1"/>
          <w:bCs w:val="1"/>
          <w:sz w:val="24"/>
          <w:szCs w:val="24"/>
          <w:rtl w:val="0"/>
        </w:rPr>
        <w:t xml:space="preserve">60 064</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b w:val="1"/>
          <w:bCs w:val="1"/>
          <w:sz w:val="24"/>
          <w:szCs w:val="24"/>
          <w:rtl w:val="0"/>
        </w:rPr>
        <w:t xml:space="preserve">milliards de francs guinéens</w:t>
      </w:r>
      <w:r w:rsidDel="00000000" w:rsidR="00000000" w:rsidRPr="00000000">
        <w:rPr>
          <w:rFonts w:ascii="Century Gothic" w:cs="Century Gothic" w:eastAsia="Century Gothic" w:hAnsi="Century Gothic"/>
          <w:sz w:val="24"/>
          <w:szCs w:val="24"/>
          <w:rtl w:val="0"/>
        </w:rPr>
        <w:t xml:space="preserve">, en accroissement de</w:t>
      </w:r>
      <w:r w:rsidDel="00000000" w:rsidR="00000000" w:rsidRPr="00000000">
        <w:rPr>
          <w:rFonts w:ascii="Century Gothic" w:cs="Century Gothic" w:eastAsia="Century Gothic" w:hAnsi="Century Gothic"/>
          <w:b w:val="1"/>
          <w:bCs w:val="1"/>
          <w:sz w:val="24"/>
          <w:szCs w:val="24"/>
          <w:rtl w:val="0"/>
        </w:rPr>
        <w:t xml:space="preserve"> 7,5</w:t>
      </w:r>
      <w:r w:rsidDel="00000000" w:rsidR="00000000" w:rsidRPr="00000000">
        <w:rPr>
          <w:rFonts w:ascii="Century Gothic" w:cs="Century Gothic" w:eastAsia="Century Gothic" w:hAnsi="Century Gothic"/>
          <w:sz w:val="24"/>
          <w:szCs w:val="24"/>
          <w:rtl w:val="0"/>
        </w:rPr>
        <w:t xml:space="preserve">% par rapport à la Loi de Finances Initiale. Lors des échanges, les Honorables Députés ont soulevé des préoccupations légitimes qui relatives à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mobilisation des recettes fiscales et douanières issues de l’exploitation du minerai de fer de Simandou et des activités de ses sous-traitants exclusifs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situation des exonérations fiscales et douanières accordées par l’État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situation des entreprises publiques n’ayant pas procédé au versement de dividendes à l’État ;</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l’absorption des ressources extérieures, par projet et par bailleur.</w:t>
      </w:r>
      <w:r w:rsidDel="00000000" w:rsidR="00000000" w:rsidRPr="00000000">
        <w:rPr>
          <w:rtl w:val="0"/>
        </w:rPr>
      </w:r>
    </w:p>
    <w:p w:rsidR="00000000" w:rsidDel="00000000" w:rsidP="00000000" w:rsidRDefault="00000000" w:rsidRPr="00000000" w14:paraId="00000032">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Ces questions rejoignent une conviction du Gouvernement : élargir et sécuriser nos ressources propres est la condition de notre autonomie de décision. Les services techniques compétents ont été mobilisés pour apporter toutes les précisions nécessaires.</w:t>
      </w:r>
    </w:p>
    <w:p w:rsidR="00000000" w:rsidDel="00000000" w:rsidP="00000000" w:rsidRDefault="00000000" w:rsidRPr="00000000" w14:paraId="00000033">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Sur le volet dépenses</w:t>
      </w:r>
      <w:r w:rsidDel="00000000" w:rsidR="00000000" w:rsidRPr="00000000">
        <w:rPr>
          <w:rFonts w:ascii="Century Gothic" w:cs="Century Gothic" w:eastAsia="Century Gothic" w:hAnsi="Century Gothic"/>
          <w:sz w:val="24"/>
          <w:szCs w:val="24"/>
          <w:rtl w:val="0"/>
        </w:rPr>
        <w:t xml:space="preserve">, évalué à environ </w:t>
      </w:r>
      <w:r w:rsidDel="00000000" w:rsidR="00000000" w:rsidRPr="00000000">
        <w:rPr>
          <w:rFonts w:ascii="Century Gothic" w:cs="Century Gothic" w:eastAsia="Century Gothic" w:hAnsi="Century Gothic"/>
          <w:b w:val="1"/>
          <w:bCs w:val="1"/>
          <w:sz w:val="24"/>
          <w:szCs w:val="24"/>
          <w:rtl w:val="0"/>
        </w:rPr>
        <w:t xml:space="preserve">67 925 milliards de francs guinéens</w:t>
      </w:r>
      <w:r w:rsidDel="00000000" w:rsidR="00000000" w:rsidRPr="00000000">
        <w:rPr>
          <w:rFonts w:ascii="Century Gothic" w:cs="Century Gothic" w:eastAsia="Century Gothic" w:hAnsi="Century Gothic"/>
          <w:sz w:val="24"/>
          <w:szCs w:val="24"/>
          <w:rtl w:val="0"/>
        </w:rPr>
        <w:t xml:space="preserve">, soit une progression de 5,8% par rapport à la Loi de Finances Initiale, les échanges en commissions et en inter-commissions ont porté notamment sur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révision à la baisse des dépenses d’investissement, résultant du retrait de certains projets à faible niveau de maturité, ainsi que la situation des études de faisabilité ;</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situation de la dette intérieure et le niveau d’exécution du budget de l’État, y compris les contraintes liées à la modulation de l’exécution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le programme de réalisation de 7 000 kilomètres de pistes rurales, conformément à la loi plan Simandou 2026-2030, ainsi que la situation de certains projets routiers en cours ;</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l’exécution des budgets d’affectation spéciale et la rétrocession des ressources aux collectivités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les ajustements opérés sur les crédits budgétaires des ministères ;</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migration vers le budget-programme à partir de 2027.</w:t>
      </w:r>
      <w:r w:rsidDel="00000000" w:rsidR="00000000" w:rsidRPr="00000000">
        <w:rPr>
          <w:rtl w:val="0"/>
        </w:rPr>
      </w:r>
    </w:p>
    <w:p w:rsidR="00000000" w:rsidDel="00000000" w:rsidP="00000000" w:rsidRDefault="00000000" w:rsidRPr="00000000" w14:paraId="0000003A">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Des éléments de réponse ont été apportés à l’ensemble de ces préoccupations. Je tiens à le dire clairement : le retrait des projets insuffisamment préparés n’est pas un renoncement, c’est un </w:t>
      </w:r>
      <w:r w:rsidDel="00000000" w:rsidR="00000000" w:rsidRPr="00000000">
        <w:rPr>
          <w:rFonts w:ascii="Century Gothic" w:cs="Century Gothic" w:eastAsia="Century Gothic" w:hAnsi="Century Gothic"/>
          <w:b w:val="1"/>
          <w:bCs w:val="1"/>
          <w:sz w:val="24"/>
          <w:szCs w:val="24"/>
          <w:rtl w:val="0"/>
        </w:rPr>
        <w:t xml:space="preserve">choix de sincérité</w:t>
      </w:r>
      <w:r w:rsidDel="00000000" w:rsidR="00000000" w:rsidRPr="00000000">
        <w:rPr>
          <w:rFonts w:ascii="Century Gothic" w:cs="Century Gothic" w:eastAsia="Century Gothic" w:hAnsi="Century Gothic"/>
          <w:sz w:val="24"/>
          <w:szCs w:val="24"/>
          <w:rtl w:val="0"/>
        </w:rPr>
        <w:t xml:space="preserve">. Le Gouvernement partage pleinement votre exigence de réalisme budgétaire. Un budget crédible est un budget qui s’exécute.</w:t>
      </w:r>
    </w:p>
    <w:p w:rsidR="00000000" w:rsidDel="00000000" w:rsidP="00000000" w:rsidRDefault="00000000" w:rsidRPr="00000000" w14:paraId="0000003B">
      <w:pPr>
        <w:spacing w:after="140" w:lineRule="auto"/>
        <w:rPr/>
      </w:pPr>
      <w:r w:rsidDel="00000000" w:rsidR="00000000" w:rsidRPr="00000000">
        <w:rPr>
          <w:rtl w:val="0"/>
        </w:rPr>
        <w:t xml:space="preserve">Permettez-moi également d'apporter trois précisions sur des points particulièrement importants soulevés lors de vos travaux : l'exécution budgétaire des ministères restructurés, les subventions aux établissements publics administratifs et l'actualisation de la mercuriale des prix.</w:t>
      </w:r>
    </w:p>
    <w:p w:rsidR="00000000" w:rsidDel="00000000" w:rsidP="00000000" w:rsidRDefault="00000000" w:rsidRPr="00000000" w14:paraId="0000003C">
      <w:pPr>
        <w:spacing w:after="140" w:lineRule="auto"/>
        <w:rPr/>
      </w:pPr>
      <w:r w:rsidDel="00000000" w:rsidR="00000000" w:rsidRPr="00000000">
        <w:rPr>
          <w:rtl w:val="0"/>
        </w:rPr>
        <w:t xml:space="preserve">S’agissant, premièrement, des taux d’exécution budgétaire affichés à 0 % pour certains ministères, je voudrais apporter une clarification importante. Ces chiffres ne traduisent pas une absence d’investissements dans les secteurs concernés. Ils résultent principalement des réorganisations gouvernementales intervenues au cours de l’exercice, notamment des fusions et scissions de départements ministériels, qui ont modifié les périmètres de suivi et de présentation des crédits budgétaires.</w:t>
        <w:br w:type="textWrapping"/>
        <w:br w:type="textWrapping"/>
        <w:t xml:space="preserve">À titre d’illustration, le ministère de l’Enseignement technique, fusionné avec celui de l’Éducation nationale, affiche un taux global d’exécution des crédits d’investissement de 29 %. Le ministère des Postes et Télécommunications, fusionné avec celui de la Communication, présente un taux de 12 %. Quant au ministère des Sports, issu de la scission avec celui de la Jeunesse, le périmètre ministériel de référence présente un taux d’exécution des investissements de 17 %.</w:t>
        <w:br w:type="textWrapping"/>
        <w:br w:type="textWrapping"/>
        <w:t xml:space="preserve">Ces niveaux appellent certes des efforts supplémentaires pour accélérer les investissements, mais démontrent que les taux nuls, lus isolément, ne reflètent pas fidèlement la réalité budgétaire des secteurs concernés. Par ailleurs, 325 milliards de francs guinéens d’arriérés de paiement concernant les départements restructurés ont été réglés, hors dépenses de personnel. Les lignes budgétaires maintenues au titre des anciennes structures servent également à retracer les opérations antérieures aux réorganisations, notamment les dépenses de fonctionnement.</w:t>
        <w:br w:type="textWrapping"/>
        <w:br w:type="textWrapping"/>
        <w:t xml:space="preserve">Nous prenons bonne note de cette observation de votre Assemblée. Les services compétents renforceront la consolidation et la présentation des données budgétaires afin d’assurer une correspondance claire entre les anciens et les nouveaux périmètres ministériels, tout en distinguant les taux d’engagement, d’ordonnancement et de paiement. Notre responsabilité est double : garantir la sincérité des chiffres présentés à la Représentation nationale et accélérer l’exécution effective des investissements au bénéfice des populations. Au-delà des taux affichés, c’est la réalisation concrète des projets et leur impact sur la vie des Guinéens qui doivent constituer notre véritable mesure de performance.</w:t>
      </w:r>
    </w:p>
    <w:p w:rsidR="00000000" w:rsidDel="00000000" w:rsidP="00000000" w:rsidRDefault="00000000" w:rsidRPr="00000000" w14:paraId="0000003D">
      <w:pPr>
        <w:spacing w:after="140" w:lineRule="auto"/>
        <w:rPr/>
      </w:pPr>
      <w:r w:rsidDel="00000000" w:rsidR="00000000" w:rsidRPr="00000000">
        <w:rPr>
          <w:rtl w:val="0"/>
        </w:rPr>
        <w:t xml:space="preserve">Deuxièmement, concernant les subventions aux établissements publics administratifs (EPA), le taux d'engagement des transferts atteint 64 %, tandis que leur taux de paiement s'établit à 41,6 %. Cet écart appelle une action résolue pour transformer plus rapidement les crédits engagés en ressources effectivement disponibles pour les établissements. À cet effet, nous examinerons les mesures administratives susceptibles d'accélérer les diligences au niveau des ministères de tutelle et d'alléger, lorsque cela est approprié, les circuits de traitement dans GEDA, sans affaiblir les contrôles nécessaires. Une analyse approfondie des dépenses salariales des EPA sera également menée avec le ministère chargé de la Fonction publique afin d'identifier les blocages et les mesures correctrices adaptées.</w:t>
      </w:r>
    </w:p>
    <w:p w:rsidR="00000000" w:rsidDel="00000000" w:rsidP="00000000" w:rsidRDefault="00000000" w:rsidRPr="00000000" w14:paraId="0000003E">
      <w:pPr>
        <w:spacing w:after="140" w:lineRule="auto"/>
        <w:rPr/>
      </w:pPr>
      <w:r w:rsidDel="00000000" w:rsidR="00000000" w:rsidRPr="00000000">
        <w:rPr>
          <w:rtl w:val="0"/>
        </w:rPr>
        <w:t xml:space="preserve">Troisièmement, sur la mercuriale des prix, un contrat a été conclu entre la Direction nationale du contrôle financier (DNCF) et l'Institut national de la statistique (INS) pour son actualisation. Le volet spécifique aux travaux sera réalisé par l'Administration et Contrôle des Grands Projets (ACGP). Cette démarche vise à disposer de références de prix plus fiables et actualisées, à mieux apprécier les coûts présentés par les administrations et à renforcer la prévention des surfacturations dans la commande publique.</w:t>
      </w:r>
    </w:p>
    <w:p w:rsidR="00000000" w:rsidDel="00000000" w:rsidP="00000000" w:rsidRDefault="00000000" w:rsidRPr="00000000" w14:paraId="0000003F">
      <w:pPr>
        <w:keepNext w:val="1"/>
        <w:spacing w:after="120" w:befor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Un principe directeur : concentrer nos ressources sur les projets réalisables et accélérer leur achèvement</w:t>
      </w:r>
      <w:r w:rsidDel="00000000" w:rsidR="00000000" w:rsidRPr="00000000">
        <w:rPr>
          <w:rtl w:val="0"/>
        </w:rPr>
      </w:r>
    </w:p>
    <w:p w:rsidR="00000000" w:rsidDel="00000000" w:rsidP="00000000" w:rsidRDefault="00000000" w:rsidRPr="00000000" w14:paraId="00000040">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Notre pays a engagé de nombreux investissements dans les infrastructures routières, l’énergie, l’eau, la santé, l’éducation et le développement rural. Ces investissements répondent à des besoins réels. Mais leur multiplication exige une adéquation permanente entre les ressources disponibles, la maturité des projets et nos capacités d’exécution.</w:t>
      </w:r>
    </w:p>
    <w:p w:rsidR="00000000" w:rsidDel="00000000" w:rsidP="00000000" w:rsidRDefault="00000000" w:rsidRPr="00000000" w14:paraId="00000041">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C’est pourquoi cette loi de finances rectificative </w:t>
      </w:r>
      <w:r w:rsidDel="00000000" w:rsidR="00000000" w:rsidRPr="00000000">
        <w:rPr>
          <w:rFonts w:ascii="Century Gothic" w:cs="Century Gothic" w:eastAsia="Century Gothic" w:hAnsi="Century Gothic"/>
          <w:b w:val="1"/>
          <w:bCs w:val="1"/>
          <w:sz w:val="24"/>
          <w:szCs w:val="24"/>
          <w:rtl w:val="0"/>
        </w:rPr>
        <w:t xml:space="preserve">privilégie les projets déjà en cours d’exécution, en particulier ceux qui peuvent être achevés ou mis en service dans les prochains mois</w:t>
      </w:r>
      <w:r w:rsidDel="00000000" w:rsidR="00000000" w:rsidRPr="00000000">
        <w:rPr>
          <w:rFonts w:ascii="Century Gothic" w:cs="Century Gothic" w:eastAsia="Century Gothic" w:hAnsi="Century Gothic"/>
          <w:sz w:val="24"/>
          <w:szCs w:val="24"/>
          <w:rtl w:val="0"/>
        </w:rPr>
        <w:t xml:space="preserve">, plutôt que de disperser les crédits sur un nombre trop important de nouveaux engagements. À titre d’illustration, les crédits de contrepartie destinés à la construction et au bitumage de la route nationale RN38 Tintioulén–Baranama passent de </w:t>
      </w:r>
      <w:r w:rsidDel="00000000" w:rsidR="00000000" w:rsidRPr="00000000">
        <w:rPr>
          <w:rFonts w:ascii="Century Gothic" w:cs="Century Gothic" w:eastAsia="Century Gothic" w:hAnsi="Century Gothic"/>
          <w:b w:val="1"/>
          <w:bCs w:val="1"/>
          <w:sz w:val="24"/>
          <w:szCs w:val="24"/>
          <w:rtl w:val="0"/>
        </w:rPr>
        <w:t xml:space="preserve">30 à 409 milliards de francs guinéens</w:t>
      </w:r>
      <w:r w:rsidDel="00000000" w:rsidR="00000000" w:rsidRPr="00000000">
        <w:rPr>
          <w:rFonts w:ascii="Century Gothic" w:cs="Century Gothic" w:eastAsia="Century Gothic" w:hAnsi="Century Gothic"/>
          <w:sz w:val="24"/>
          <w:szCs w:val="24"/>
          <w:rtl w:val="0"/>
        </w:rPr>
        <w:t xml:space="preserve">, tandis que d’autres projets sont ajustés à la baisse afin d’en réexaminer le calendrier et les besoins de financement.</w:t>
      </w:r>
    </w:p>
    <w:p w:rsidR="00000000" w:rsidDel="00000000" w:rsidP="00000000" w:rsidRDefault="00000000" w:rsidRPr="00000000" w14:paraId="00000042">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Ces arbitrages ne signifient pas que les besoins auxquels répondent ces projets ont disparu. Ils visent à mieux séquencer nos investissements, à réduire les chantiers inachevés, à limiter les surcoûts liés aux retards et à éviter que des crédits importants demeurent immobilisés sans produire les résultats attendus. </w:t>
      </w:r>
      <w:r w:rsidDel="00000000" w:rsidR="00000000" w:rsidRPr="00000000">
        <w:rPr>
          <w:rFonts w:ascii="Century Gothic" w:cs="Century Gothic" w:eastAsia="Century Gothic" w:hAnsi="Century Gothic"/>
          <w:b w:val="1"/>
          <w:bCs w:val="1"/>
          <w:sz w:val="24"/>
          <w:szCs w:val="24"/>
          <w:rtl w:val="0"/>
        </w:rPr>
        <w:t xml:space="preserve">Il ne suffit pas d’inscrire un projet au budget pour transformer un territoire : encore faut-il le réaliser, l’achever et le mettre effectivement au service des populations.</w:t>
      </w:r>
      <w:r w:rsidDel="00000000" w:rsidR="00000000" w:rsidRPr="00000000">
        <w:rPr>
          <w:rtl w:val="0"/>
        </w:rPr>
      </w:r>
    </w:p>
    <w:p w:rsidR="00000000" w:rsidDel="00000000" w:rsidP="00000000" w:rsidRDefault="00000000" w:rsidRPr="00000000" w14:paraId="00000043">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Cette démarche sera renforcée par l’opérationnalisation de la plateforme de suivi et d’évaluation des projets d’investissement public. En rapprochant l’avancement physique, les décaissements, les délais et les résultats, elle permettra de détecter les retards, de lever plus rapidement les blocages et de concentrer les ressources sur les projets qui avancent et produisent des résultats concrets.</w:t>
      </w:r>
    </w:p>
    <w:p w:rsidR="00000000" w:rsidDel="00000000" w:rsidP="00000000" w:rsidRDefault="00000000" w:rsidRPr="00000000" w14:paraId="00000044">
      <w:pPr>
        <w:keepNext w:val="1"/>
        <w:spacing w:before="480" w:lineRule="auto"/>
        <w:jc w:val="both"/>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Honorable Président,</w:t>
      </w:r>
    </w:p>
    <w:p w:rsidR="00000000" w:rsidDel="00000000" w:rsidP="00000000" w:rsidRDefault="00000000" w:rsidRPr="00000000" w14:paraId="00000045">
      <w:pPr>
        <w:keepNext w:val="1"/>
        <w:spacing w:before="480" w:lineRule="auto"/>
        <w:jc w:val="both"/>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Honorables Députés,</w:t>
      </w:r>
    </w:p>
    <w:p w:rsidR="00000000" w:rsidDel="00000000" w:rsidP="00000000" w:rsidRDefault="00000000" w:rsidRPr="00000000" w14:paraId="00000046">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La hausse maîtrisée des dépenses que nous vous proposons est orientée vers cinq priorités stratégiques.</w:t>
      </w:r>
    </w:p>
    <w:p w:rsidR="00000000" w:rsidDel="00000000" w:rsidP="00000000" w:rsidRDefault="00000000" w:rsidRPr="00000000" w14:paraId="00000047">
      <w:pPr>
        <w:keepNext w:val="1"/>
        <w:spacing w:after="120" w:befor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Premièrement, investir dans le capital humain.</w:t>
      </w:r>
      <w:r w:rsidDel="00000000" w:rsidR="00000000" w:rsidRPr="00000000">
        <w:rPr>
          <w:rtl w:val="0"/>
        </w:rPr>
      </w:r>
    </w:p>
    <w:p w:rsidR="00000000" w:rsidDel="00000000" w:rsidP="00000000" w:rsidRDefault="00000000" w:rsidRPr="00000000" w14:paraId="00000048">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La santé et l’éducation sont les fondations de toute transformation durable. Ce projet de loi prévoit à ce titre :</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le bon fonctionnement de 455 centres de santé et 2 514 postes de santé cartographiés à travers le pays ;</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l’opérationnalisation des centres d’hémodialyse, l’équipement des hôpitaux régionaux en mammographes, ainsi que la prise en compte des contreparties nationales pour l’approvisionnement régulier en produits pharmaceutiques et en vaccins ;</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le renforcement de l’équipement de l’hôpital de Donka, en raison du transfert des services de l’hôpital Ignace Deen ;</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constitution d’un fonds d’urgence destiné à apporter une réponse rapide aux éventuelles maladies épidémiques ;</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poursuite de l’amélioration des conditions de vie des fonctionnaires du secteur éducatif ainsi que le recrutement récent de 4500 enseignants pour doter chaque école d’un nombre suffisant d’enseignants ;</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le renforcement de la déconcentration des crédits de fonctionnement en faveur des établissements scolaires sur l’ensemble du territoire national.</w:t>
      </w:r>
      <w:r w:rsidDel="00000000" w:rsidR="00000000" w:rsidRPr="00000000">
        <w:rPr>
          <w:rtl w:val="0"/>
        </w:rPr>
      </w:r>
    </w:p>
    <w:p w:rsidR="00000000" w:rsidDel="00000000" w:rsidP="00000000" w:rsidRDefault="00000000" w:rsidRPr="00000000" w14:paraId="0000004F">
      <w:pPr>
        <w:keepNext w:val="1"/>
        <w:spacing w:after="120" w:befor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Deuxièmement, protéger les plus vulnérables et élargir les opportunités.</w:t>
      </w:r>
      <w:r w:rsidDel="00000000" w:rsidR="00000000" w:rsidRPr="00000000">
        <w:rPr>
          <w:rtl w:val="0"/>
        </w:rPr>
      </w:r>
    </w:p>
    <w:p w:rsidR="00000000" w:rsidDel="00000000" w:rsidP="00000000" w:rsidRDefault="00000000" w:rsidRPr="00000000" w14:paraId="00000050">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La croissance n’a de sens que si elle est partagée. C’est pourquoi nous prévoyons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une dotation supplémentaire en faveur de la Caisse Nationale de Prévoyance Sociale, pour renforcer sa capacité de prise en charge des agents de l’État atteints de maladies de longue durée (cancer, insuffisance rénale, AVC…) ;</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le rehaussement des dotations des établissements publics du secteur social, pour soutenir les couches fragiles et promouvoir l’entrepreneuriat féminin (FDSI, ANIES, Centre National d’Orthopédie, le Centre Jean Paul II, etc.) ;</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l’appui aux fédérations sportives, en vue de redynamiser et de promouvoir le sport à la base, au bénéfice de notre jeunesse.</w:t>
      </w:r>
      <w:r w:rsidDel="00000000" w:rsidR="00000000" w:rsidRPr="00000000">
        <w:rPr>
          <w:rtl w:val="0"/>
        </w:rPr>
      </w:r>
    </w:p>
    <w:p w:rsidR="00000000" w:rsidDel="00000000" w:rsidP="00000000" w:rsidRDefault="00000000" w:rsidRPr="00000000" w14:paraId="00000054">
      <w:pPr>
        <w:keepNext w:val="1"/>
        <w:spacing w:after="120" w:befor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Troisièmement, rapprocher l’action publique des territoires.</w:t>
      </w:r>
      <w:r w:rsidDel="00000000" w:rsidR="00000000" w:rsidRPr="00000000">
        <w:rPr>
          <w:rtl w:val="0"/>
        </w:rPr>
      </w:r>
    </w:p>
    <w:p w:rsidR="00000000" w:rsidDel="00000000" w:rsidP="00000000" w:rsidRDefault="00000000" w:rsidRPr="00000000" w14:paraId="00000055">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L’équité territoriale est un choix politique fort. Il se traduit par :</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l’augmentation des crédits de l’administration territoriale, avec une hausse de près de 50% pour le fonctionnement des sous-préfectures et de 110% pour les transferts aux communes rurales ;</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l’application du principe d’affectation d’au moins 20% des crédits de fonctionnement de chaque ministère à ses services déconcentrés ;</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poursuite du programme de réalisation de 1 600 points d’eau dans les localités de l’intérieur du pays, y compris dans les structures de santé et les maisons carcérales.</w:t>
      </w:r>
      <w:r w:rsidDel="00000000" w:rsidR="00000000" w:rsidRPr="00000000">
        <w:rPr>
          <w:rtl w:val="0"/>
        </w:rPr>
      </w:r>
    </w:p>
    <w:p w:rsidR="00000000" w:rsidDel="00000000" w:rsidP="00000000" w:rsidRDefault="00000000" w:rsidRPr="00000000" w14:paraId="00000059">
      <w:pPr>
        <w:keepNext w:val="1"/>
        <w:spacing w:after="120" w:befor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Quatrièmement, désenclaver le pays et soutenir l’économie réelle.</w:t>
      </w:r>
      <w:r w:rsidDel="00000000" w:rsidR="00000000" w:rsidRPr="00000000">
        <w:rPr>
          <w:rtl w:val="0"/>
        </w:rPr>
      </w:r>
    </w:p>
    <w:p w:rsidR="00000000" w:rsidDel="00000000" w:rsidP="00000000" w:rsidRDefault="00000000" w:rsidRPr="00000000" w14:paraId="0000005A">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Les infrastructures sont le socle de la diversification de notre économie. Le projet de loi prévoit :</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l’accélération de la mise en œuvre des projets routiers et des pistes rurales pour le désenclavement des zones agricoles ;</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l’accélération des projets d’eau et d’électricité, notamment en zone rurale ;</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 poursuite du programme d’acquisition de bus destinés au transport public.</w:t>
      </w:r>
      <w:r w:rsidDel="00000000" w:rsidR="00000000" w:rsidRPr="00000000">
        <w:rPr>
          <w:rtl w:val="0"/>
        </w:rPr>
      </w:r>
    </w:p>
    <w:p w:rsidR="00000000" w:rsidDel="00000000" w:rsidP="00000000" w:rsidRDefault="00000000" w:rsidRPr="00000000" w14:paraId="0000005E">
      <w:pPr>
        <w:keepNext w:val="1"/>
        <w:spacing w:after="120" w:befor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Cinquièmement, consolider les institutions de la République.</w:t>
      </w:r>
      <w:r w:rsidDel="00000000" w:rsidR="00000000" w:rsidRPr="00000000">
        <w:rPr>
          <w:rtl w:val="0"/>
        </w:rPr>
      </w:r>
    </w:p>
    <w:p w:rsidR="00000000" w:rsidDel="00000000" w:rsidP="00000000" w:rsidRDefault="00000000" w:rsidRPr="00000000" w14:paraId="0000005F">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Un État efficace repose sur des institutions dotées des moyens de leur mission. À ce titre, des crédits sont alloués à :</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l’acquisition de véhicules au profit des premiers responsables des cours et tribunaux, ainsi que de toges pour les magistrats ;</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80" w:line="240" w:lineRule="auto"/>
        <w:ind w:left="714" w:right="0" w:hanging="357"/>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l’acquisition de véhicules de service en faveur des députés et des futurs sénateurs.</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La consolidation de notre présence diplomatique constitue également une priorité. Depuis 2021, des efforts budgétaires importants sont consentis pour l’acquisition, la construction, la rénovation et l’équipement de nos ambassades et consulats, afin d’améliorer les conditions de travail de nos représentations et la qualité des services rendus à nos compatriotes à l’étranger. À ce titre, le budget rectifié 2026 prévoit une enveloppe de 128 milliards de francs guinéens.</w:t>
      </w:r>
    </w:p>
    <w:p w:rsidR="00000000" w:rsidDel="00000000" w:rsidP="00000000" w:rsidRDefault="00000000" w:rsidRPr="00000000" w14:paraId="00000063">
      <w:pPr>
        <w:rPr/>
      </w:pPr>
      <w:r w:rsidDel="00000000" w:rsidR="00000000" w:rsidRPr="00000000">
        <w:rPr>
          <w:rtl w:val="0"/>
        </w:rPr>
        <w:t xml:space="preserve">Le Gouvernement accorde également une attention particulière au règlement des contributions de la Guinée aux organisations internationales. Chaque année, nous améliorons leur prévision et leur exécution grâce à l’identification précise, dans le budget, des institutions bénéficiaires et des montants dus. Ces dépenses font l’objet d’une priorité dans l’exécution budgétaire. Le présent budget rectifié prévoit ainsi 121 milliards de francs guinéens, afin d’honorer nos engagements internationaux et de préserver la crédibilité de notre pays auprès de ses partenaires.</w:t>
      </w:r>
    </w:p>
    <w:p w:rsidR="00000000" w:rsidDel="00000000" w:rsidP="00000000" w:rsidRDefault="00000000" w:rsidRPr="00000000" w14:paraId="00000064">
      <w:pPr>
        <w:keepNext w:val="1"/>
        <w:spacing w:after="120" w:befor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Un cap clair : passer d’une logique de moyens à une logique de résultats</w:t>
      </w:r>
      <w:r w:rsidDel="00000000" w:rsidR="00000000" w:rsidRPr="00000000">
        <w:rPr>
          <w:rtl w:val="0"/>
        </w:rPr>
      </w:r>
    </w:p>
    <w:p w:rsidR="00000000" w:rsidDel="00000000" w:rsidP="00000000" w:rsidRDefault="00000000" w:rsidRPr="00000000" w14:paraId="00000065">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Au-delà de ces mesures, notre ambition demeure constante : </w:t>
      </w:r>
      <w:r w:rsidDel="00000000" w:rsidR="00000000" w:rsidRPr="00000000">
        <w:rPr>
          <w:rFonts w:ascii="Century Gothic" w:cs="Century Gothic" w:eastAsia="Century Gothic" w:hAnsi="Century Gothic"/>
          <w:b w:val="1"/>
          <w:bCs w:val="1"/>
          <w:sz w:val="24"/>
          <w:szCs w:val="24"/>
          <w:rtl w:val="0"/>
        </w:rPr>
        <w:t xml:space="preserve">renforcer la qualité de la dépense publique et doter chaque localité des services socio-économiques de base — une école, un centre de santé, une adduction d’eau, des routes et des pistes</w:t>
      </w:r>
      <w:r w:rsidDel="00000000" w:rsidR="00000000" w:rsidRPr="00000000">
        <w:rPr>
          <w:rFonts w:ascii="Century Gothic" w:cs="Century Gothic" w:eastAsia="Century Gothic" w:hAnsi="Century Gothic"/>
          <w:sz w:val="24"/>
          <w:szCs w:val="24"/>
          <w:rtl w:val="0"/>
        </w:rPr>
        <w:t xml:space="preserve">.</w:t>
      </w:r>
    </w:p>
    <w:p w:rsidR="00000000" w:rsidDel="00000000" w:rsidP="00000000" w:rsidRDefault="00000000" w:rsidRPr="00000000" w14:paraId="00000066">
      <w:pPr>
        <w:jc w:val="both"/>
        <w:rPr/>
      </w:pPr>
      <w:r w:rsidDel="00000000" w:rsidR="00000000" w:rsidRPr="00000000">
        <w:rPr>
          <w:rtl w:val="0"/>
        </w:rPr>
        <w:t xml:space="preserve">Cette exigence de résultats se traduit par un programme de réformes opérationnelles destiné à lever simultanément deux obstacles : les lenteurs dans l’exécution du budget et les insuffisances dans la qualité de la dépense. Notre ambition est simple : payer plus rapidement les dépenses régulières, tout en contrôlant plus rigoureusement leur justification, leur coût et leur utilité.</w:t>
      </w:r>
    </w:p>
    <w:p w:rsidR="00000000" w:rsidDel="00000000" w:rsidP="00000000" w:rsidRDefault="00000000" w:rsidRPr="00000000" w14:paraId="00000067">
      <w:pPr>
        <w:jc w:val="both"/>
        <w:rPr/>
      </w:pPr>
      <w:r w:rsidDel="00000000" w:rsidR="00000000" w:rsidRPr="00000000">
        <w:rPr>
          <w:rtl w:val="0"/>
        </w:rPr>
        <w:t xml:space="preserve">Premièrement, nous simplifions et sécurisons la chaîne de la dépense. Le SICOF (Système d’information du contrôle financier) accélère et fiabilise le contrôle des engagements, renforce la traçabilité des visas et facilite l’identification des blocages. Le SICOM (Système d’information de la comptabilité des matières) assure un meilleur inventaire et suivi des biens de l’État : il permet de rapprocher les acquisitions des biens effectivement reçus, de limiter les pertes et d’éviter les achats redondants. Ensemble, ces outils contribuent à faire passer notre administration d’un contrôle essentiellement formel à un suivi plus rigoureux de la dépense et de son utilité. L’allègement ciblé des circuits de validation dans GEDA et la « Clinique des dossiers » contribueront également à lever les blocages entre engagement, liquidation, ordonnancement et paiement, sans affaiblir les contrôles essentiels. Des tableaux de bord, ministère par ministère, renforceront la responsabilisation des acteurs et la visibilité sur les délais.</w:t>
      </w:r>
    </w:p>
    <w:p w:rsidR="00000000" w:rsidDel="00000000" w:rsidP="00000000" w:rsidRDefault="00000000" w:rsidRPr="00000000" w14:paraId="00000068">
      <w:pPr>
        <w:jc w:val="both"/>
        <w:rPr/>
      </w:pPr>
      <w:r w:rsidDel="00000000" w:rsidR="00000000" w:rsidRPr="00000000">
        <w:rPr>
          <w:rtl w:val="0"/>
        </w:rPr>
        <w:t xml:space="preserve">Deuxièmement, nous renforçons la transparence des marchés publics et la maîtrise des prix. Télémo, notre plateforme de dématérialisation de la commande publique, vise à raccourcir les délais de passation, à élargir l’accès des entreprises aux appels d’offres et à garantir une meilleure traçabilité des procédures et des décisions. Elle doit ainsi contribuer à renforcer la concurrence, à limiter les pratiques irrégulières et à obtenir de meilleures conditions d’achat pour l’État. La Centrale d’achats de l’État contribuera à mutualiser les achats récurrents, à standardiser les spécifications et à réaliser des économies d’échelle. L’actualisation de la mercuriale des prix, avec l’INS pour les biens et services et l’ACGP pour les travaux, permettra de disposer de références plus fiables pour apprécier les coûts et prévenir les surfacturations.</w:t>
      </w:r>
    </w:p>
    <w:p w:rsidR="00000000" w:rsidDel="00000000" w:rsidP="00000000" w:rsidRDefault="00000000" w:rsidRPr="00000000" w14:paraId="00000069">
      <w:pPr>
        <w:rPr/>
      </w:pPr>
      <w:r w:rsidDel="00000000" w:rsidR="00000000" w:rsidRPr="00000000">
        <w:rPr>
          <w:rFonts w:ascii="Times New Roman" w:cs="Times New Roman" w:eastAsia="Times New Roman" w:hAnsi="Times New Roman"/>
          <w:rtl w:val="0"/>
        </w:rPr>
        <w:t xml:space="preserve">Parallèlement, un travail est en cours pour instituer un dispositif accéléré d’exécution des dépenses publiques. Il visera à raccourcir les délais de traitement, à harmoniser les pièces justificatives, à fluidifier les validations et à mieux coordonner les services ordonnateurs, les contrôles financiers et le Trésor. Cette simplification devra s’appuyer sur des procédures proportionnées aux risques, des délais de traitement suivis et une traçabilité complète des opérations, sans renoncer aux exigences de régularité et de bonne utilisation des deniers publics.</w:t>
      </w:r>
      <w:r w:rsidDel="00000000" w:rsidR="00000000" w:rsidRPr="00000000">
        <w:rPr>
          <w:rtl w:val="0"/>
        </w:rPr>
      </w:r>
    </w:p>
    <w:p w:rsidR="00000000" w:rsidDel="00000000" w:rsidP="00000000" w:rsidRDefault="00000000" w:rsidRPr="00000000" w14:paraId="0000006A">
      <w:pPr>
        <w:rPr/>
      </w:pPr>
      <w:r w:rsidDel="00000000" w:rsidR="00000000" w:rsidRPr="00000000">
        <w:rPr>
          <w:rFonts w:ascii="Times New Roman" w:cs="Times New Roman" w:eastAsia="Times New Roman" w:hAnsi="Times New Roman"/>
          <w:rtl w:val="0"/>
        </w:rPr>
        <w:t xml:space="preserve">Pour les projets prioritaires du Programme Simandou 2040, nous travaillons à un circuit d’exécution encore plus fluide, adapté à leur caractère stratégique et à leurs impératifs de réalisation. Dans l’esprit des facilités prévues par la loi-plan Simandou et la loi de programme Simandou 2040, il s’agira d’organiser une instruction coordonnée et rapide des dossiers, de mieux anticiper les besoins de financement et d’éviter que des lenteurs administratives ne retardent les chantiers structurants. Les modalités de ce dispositif seront précisées dans le respect du cadre légal, des contrôles nécessaires et de la transparence.</w:t>
      </w:r>
      <w:r w:rsidDel="00000000" w:rsidR="00000000" w:rsidRPr="00000000">
        <w:rPr>
          <w:rtl w:val="0"/>
        </w:rPr>
      </w:r>
    </w:p>
    <w:p w:rsidR="00000000" w:rsidDel="00000000" w:rsidP="00000000" w:rsidRDefault="00000000" w:rsidRPr="00000000" w14:paraId="0000006B">
      <w:pPr>
        <w:rPr/>
      </w:pPr>
      <w:r w:rsidDel="00000000" w:rsidR="00000000" w:rsidRPr="00000000">
        <w:rPr>
          <w:rFonts w:ascii="Times New Roman" w:cs="Times New Roman" w:eastAsia="Times New Roman" w:hAnsi="Times New Roman"/>
          <w:rtl w:val="0"/>
        </w:rPr>
        <w:t xml:space="preserve">Dans le même esprit, la révision du Code des marchés publics doit permettre de mieux adapter les procédures et les délais de passation aux besoins réels de notre pays et aux spécificités des projets, tout en préservant la concurrence, l’égalité de traitement, la transparence et la prévention des conflits d’intérêts. Notre objectif n’est pas de choisir entre rapidité et rigueur : il est de construire une commande publique qui garantisse les deux.</w:t>
      </w:r>
      <w:r w:rsidDel="00000000" w:rsidR="00000000" w:rsidRPr="00000000">
        <w:rPr>
          <w:rtl w:val="0"/>
        </w:rPr>
      </w:r>
    </w:p>
    <w:p w:rsidR="00000000" w:rsidDel="00000000" w:rsidP="00000000" w:rsidRDefault="00000000" w:rsidRPr="00000000" w14:paraId="0000006C">
      <w:pPr>
        <w:jc w:val="both"/>
        <w:rPr/>
      </w:pPr>
      <w:r w:rsidDel="00000000" w:rsidR="00000000" w:rsidRPr="00000000">
        <w:rPr>
          <w:rtl w:val="0"/>
        </w:rPr>
        <w:t xml:space="preserve">Troisièmement, nous modernisons la gestion de trésorerie et les paiements. L’« Œil du Trésor » doit améliorer la visibilité en temps réel sur la chaîne de paiement et les engagements en attente ; TrésorPay favorisera des règlements plus traçables et sécurisés. Nous renforcerons parallèlement la programmation de trésorerie, le suivi des arriérés et la publication d’indicateurs de délais de paiement, afin que les entreprises, les établissements publics et les services de l’État disposent d’une meilleure prévisibilité.</w:t>
      </w:r>
    </w:p>
    <w:p w:rsidR="00000000" w:rsidDel="00000000" w:rsidP="00000000" w:rsidRDefault="00000000" w:rsidRPr="00000000" w14:paraId="0000006D">
      <w:pPr>
        <w:rPr/>
      </w:pPr>
      <w:r w:rsidDel="00000000" w:rsidR="00000000" w:rsidRPr="00000000">
        <w:rPr>
          <w:b w:val="1"/>
          <w:bCs w:val="1"/>
          <w:rtl w:val="0"/>
        </w:rPr>
        <w:t xml:space="preserve">Concernant le règlement de la dette intérieure envers les fournisseurs, </w:t>
      </w:r>
      <w:r w:rsidDel="00000000" w:rsidR="00000000" w:rsidRPr="00000000">
        <w:rPr>
          <w:rtl w:val="0"/>
        </w:rPr>
        <w:t xml:space="preserve">le Gouvernement mesure pleinement son importance pour la trésorerie des entreprises, la préservation des emplois et la relance de l’activité économique. Malgré les contraintes de trésorerie et les autres exigences de financement de l’État, nous demeurons déterminés à atteindre, d’ici au 31 décembre 2026, les objectifs fixés en matière d’apurement. À cet égard, plus de </w:t>
      </w:r>
      <w:r w:rsidDel="00000000" w:rsidR="00000000" w:rsidRPr="00000000">
        <w:rPr>
          <w:b w:val="1"/>
          <w:bCs w:val="1"/>
          <w:rtl w:val="0"/>
        </w:rPr>
        <w:t xml:space="preserve">6 500 milliards de francs guinéens</w:t>
      </w:r>
      <w:r w:rsidDel="00000000" w:rsidR="00000000" w:rsidRPr="00000000">
        <w:rPr>
          <w:rtl w:val="0"/>
        </w:rPr>
        <w:t xml:space="preserve"> d’arriérés et de dettes, toutes catégories confondues, ont déjà été réglés au cours de l’année 2026. Cet effort significatif doit se poursuivre dans le respect des procédures de vérification, de programmation et de paiement, avec une priorité donnée à la transparence et à la prévisibilité pour les fournisseurs de l’État.</w:t>
      </w:r>
    </w:p>
    <w:p w:rsidR="00000000" w:rsidDel="00000000" w:rsidP="00000000" w:rsidRDefault="00000000" w:rsidRPr="00000000" w14:paraId="0000006E">
      <w:pPr>
        <w:jc w:val="both"/>
        <w:rPr/>
      </w:pPr>
      <w:r w:rsidDel="00000000" w:rsidR="00000000" w:rsidRPr="00000000">
        <w:rPr>
          <w:rtl w:val="0"/>
        </w:rPr>
        <w:t xml:space="preserve">Quatrièmement, nous renforçons l’efficacité des investissements et la performance des organismes publics. L’opérationnalisation de la plateforme de suivi et d’évaluation des projets d’investissement public constituera un levier décisif : en suivant, projet par projet, les réalisations physiques, l’exécution financière, les échéances et les difficultés, elle permettra des alertes précoces et des décisions correctrices rapides. Elle contribuera ainsi à réduire les retards et les surcoûts, à accélérer l’achèvement des chantiers et à mieux orienter les crédits vers les projets à fort impact. Notre objectif est également de passer d’un financement des structures à un financement de missions clairement définies, assorties d’obligations de résultats.</w:t>
      </w:r>
    </w:p>
    <w:p w:rsidR="00000000" w:rsidDel="00000000" w:rsidP="00000000" w:rsidRDefault="00000000" w:rsidRPr="00000000" w14:paraId="0000006F">
      <w:pPr>
        <w:rPr/>
      </w:pPr>
      <w:r w:rsidDel="00000000" w:rsidR="00000000" w:rsidRPr="00000000">
        <w:rPr>
          <w:rtl w:val="0"/>
        </w:rPr>
        <w:t xml:space="preserve">S'agissant des établissements publics administratifs (EPA), la revue a été finalisée. Nous engageons désormais l'examen et la mise en œuvre progressive de ses recommandations, selon un calendrier et des responsabilités clairement établis. Cette démarche devra notamment permettre de clarifier les missions des établissements, de traiter les doublons institutionnels, de rationaliser les charges de fonctionnement, de renforcer la maîtrise de la masse salariale et de mieux encadrer les transferts budgétaires. Elle s'accompagnera d'une meilleure programmation des subventions, d'indicateurs de performance, d'une reddition régulière des comptes et d'un suivi de l'application des recommandations. Il ne s'agit pas de fragiliser les services publics, mais de leur donner des moyens mieux ciblés, effectivement exécutés et mieux évalués.</w:t>
      </w:r>
    </w:p>
    <w:p w:rsidR="00000000" w:rsidDel="00000000" w:rsidP="00000000" w:rsidRDefault="00000000" w:rsidRPr="00000000" w14:paraId="00000070">
      <w:pPr>
        <w:rPr/>
      </w:pPr>
      <w:r w:rsidDel="00000000" w:rsidR="00000000" w:rsidRPr="00000000">
        <w:rPr>
          <w:rtl w:val="0"/>
        </w:rPr>
        <w:t xml:space="preserve">Concernant les sociétés publiques, une revue est en cours. Elle doit nous offrir une vision consolidée de leur situation financière, de leurs missions, de leurs engagements, de leurs risques budgétaires et de leur gouvernance. Ses conclusions permettront d'examiner, au cas par cas, les mesures appropriées : amélioration de la gouvernance, renforcement des contrôles et de la transparence, maîtrise des coûts, contractualisation des objectifs, plans de redressement lorsque nécessaires et politique plus exigeante de remontée des dividendes. Les bénéfices attendus sont une moindre exposition du budget aux pertes et aux engagements non maîtrisés, une meilleure valorisation du patrimoine de l'État, une qualité accrue des services rendus et, pour les entreprises qui en ont la capacité, une contribution plus régulière aux recettes publiques. Ces mesures seront définies sur la base des conclusions de la revue, dans le respect des missions de service public.</w:t>
      </w:r>
    </w:p>
    <w:p w:rsidR="00000000" w:rsidDel="00000000" w:rsidP="00000000" w:rsidRDefault="00000000" w:rsidRPr="00000000" w14:paraId="00000071">
      <w:pPr>
        <w:jc w:val="both"/>
        <w:rPr/>
      </w:pPr>
      <w:r w:rsidDel="00000000" w:rsidR="00000000" w:rsidRPr="00000000">
        <w:rPr>
          <w:rtl w:val="0"/>
        </w:rPr>
        <w:t xml:space="preserve">Enfin, le passage au budget-programme devra s’accompagner de contrats d’objectifs, d’indicateurs de performance et d’un dialogue de gestion plus exigeant avec les ministères. La rapidité d’exécution ne saurait se faire au détriment de la régularité ; inversement, la multiplication des formalités ne doit pas empêcher les crédits votés d’atteindre les citoyens. C’est cet équilibre entre célérité, transparence et impact qui guidera notre action.</w:t>
      </w:r>
    </w:p>
    <w:p w:rsidR="00000000" w:rsidDel="00000000" w:rsidP="00000000" w:rsidRDefault="00000000" w:rsidRPr="00000000" w14:paraId="00000072">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La migration vers le budget-programme à partir de 2027 marquera à cet égard un tournant. Chaque franc dépensé devra être rattaché à un objectif, mesuré par un résultat et rendu visible pour nos concitoyens. C’est le sens de la réforme de nos finances publiques, et c’est le gage de la confiance entre l’État, la Représentation nationale et les populations.</w:t>
      </w:r>
    </w:p>
    <w:p w:rsidR="00000000" w:rsidDel="00000000" w:rsidP="00000000" w:rsidRDefault="00000000" w:rsidRPr="00000000" w14:paraId="00000073">
      <w:pPr>
        <w:rPr/>
      </w:pPr>
      <w:r w:rsidDel="00000000" w:rsidR="00000000" w:rsidRPr="00000000">
        <w:rPr>
          <w:rtl w:val="0"/>
        </w:rPr>
        <w:t xml:space="preserve">Honorables Députés, je voudrais réaffirmer devant votre Assemblée la détermination du Gouvernement à poursuivre, avec constance et responsabilité, les réformes déjà engagées dans trois domaines essentiels : la mobilisation accrue et durable des ressources publiques, l’amélioration de la qualité et de l’efficacité des dépenses, ainsi que la rationalisation et la simplification des procédures administratives, budgétaires et financières.</w:t>
      </w:r>
    </w:p>
    <w:p w:rsidR="00000000" w:rsidDel="00000000" w:rsidP="00000000" w:rsidRDefault="00000000" w:rsidRPr="00000000" w14:paraId="00000074">
      <w:pPr>
        <w:rPr/>
      </w:pPr>
      <w:r w:rsidDel="00000000" w:rsidR="00000000" w:rsidRPr="00000000">
        <w:rPr>
          <w:rtl w:val="0"/>
        </w:rPr>
        <w:t xml:space="preserve">Cela implique de poursuivre la modernisation des administrations fiscales et douanières, de mieux encadrer les exonérations et de renforcer la mobilisation des recettes non fiscales ; de privilégier les investissements mûrs, achevables et à fort impact ; et de réduire les délais de passation, d’engagement et de paiement grâce à la digitalisation, à la clarification des responsabilités et à des contrôles mieux ciblés. Nous veillerons à ce que chaque réforme produise des résultats mesurables, dans le respect de la transparence, de la discipline budgétaire et de la redevabilité envers la Représentation nationale.</w:t>
      </w:r>
    </w:p>
    <w:p w:rsidR="00000000" w:rsidDel="00000000" w:rsidP="00000000" w:rsidRDefault="00000000" w:rsidRPr="00000000" w14:paraId="00000075">
      <w:pPr>
        <w:rPr/>
      </w:pPr>
      <w:r w:rsidDel="00000000" w:rsidR="00000000" w:rsidRPr="00000000">
        <w:rPr>
          <w:b w:val="1"/>
          <w:bCs w:val="1"/>
          <w:rtl w:val="0"/>
        </w:rPr>
        <w:t xml:space="preserve">Notre cap est clair : mobiliser davantage de ressources, dépenser mieux et agir plus vite, pour que chaque franc public se traduise en progrès concrets pour nos concitoyens.</w:t>
      </w:r>
      <w:r w:rsidDel="00000000" w:rsidR="00000000" w:rsidRPr="00000000">
        <w:rPr>
          <w:rtl w:val="0"/>
        </w:rPr>
      </w:r>
    </w:p>
    <w:p w:rsidR="00000000" w:rsidDel="00000000" w:rsidP="00000000" w:rsidRDefault="00000000" w:rsidRPr="00000000" w14:paraId="00000076">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Je voudrais, au nom du Premier Ministre, Chef du Gouvernement, vous assurer que les préoccupations exprimées et les recommandations formulées seront prises en compte pour renforcer la mise en œuvre des politiques publiques, conformément à la vision de Son Excellence Monsieur Mamadi DOUMBOUYA, Président de la République.</w:t>
      </w:r>
    </w:p>
    <w:p w:rsidR="00000000" w:rsidDel="00000000" w:rsidP="00000000" w:rsidRDefault="00000000" w:rsidRPr="00000000" w14:paraId="00000077">
      <w:pPr>
        <w:keepNext w:val="1"/>
        <w:spacing w:before="480" w:lineRule="auto"/>
        <w:jc w:val="both"/>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Honorable Président,</w:t>
      </w:r>
    </w:p>
    <w:p w:rsidR="00000000" w:rsidDel="00000000" w:rsidP="00000000" w:rsidRDefault="00000000" w:rsidRPr="00000000" w14:paraId="00000078">
      <w:pPr>
        <w:keepNext w:val="1"/>
        <w:spacing w:before="480" w:lineRule="auto"/>
        <w:jc w:val="both"/>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Honorables Députés,</w:t>
      </w:r>
    </w:p>
    <w:p w:rsidR="00000000" w:rsidDel="00000000" w:rsidP="00000000" w:rsidRDefault="00000000" w:rsidRPr="00000000" w14:paraId="00000079">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Je salue la qualité des échanges et la pertinence des contributions au cours des travaux. Elles témoignent de la vitalité du dialogue entre le Gouvernement et la Représentation nationale.</w:t>
      </w:r>
    </w:p>
    <w:p w:rsidR="00000000" w:rsidDel="00000000" w:rsidP="00000000" w:rsidRDefault="00000000" w:rsidRPr="00000000" w14:paraId="0000007A">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Le contrôle parlementaire n’est pas un obstacle à l’action gouvernementale : il en renforce la rigueur, la transparence et la crédibilité. </w:t>
      </w:r>
      <w:r w:rsidDel="00000000" w:rsidR="00000000" w:rsidRPr="00000000">
        <w:rPr>
          <w:rFonts w:ascii="Century Gothic" w:cs="Century Gothic" w:eastAsia="Century Gothic" w:hAnsi="Century Gothic"/>
          <w:b w:val="1"/>
          <w:bCs w:val="1"/>
          <w:sz w:val="24"/>
          <w:szCs w:val="24"/>
          <w:rtl w:val="0"/>
        </w:rPr>
        <w:t xml:space="preserve">Lorsque le Gouvernement et la Représentation nationale travaillent dans le respect de leurs prérogatives respectives, c’est la qualité de la décision publique qui s’améliore et, à travers elle, le service rendu à nos concitoyens.</w:t>
      </w:r>
      <w:r w:rsidDel="00000000" w:rsidR="00000000" w:rsidRPr="00000000">
        <w:rPr>
          <w:rtl w:val="0"/>
        </w:rPr>
      </w:r>
    </w:p>
    <w:p w:rsidR="00000000" w:rsidDel="00000000" w:rsidP="00000000" w:rsidRDefault="00000000" w:rsidRPr="00000000" w14:paraId="0000007B">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Je remercie les présidents et membres des commissions permanentes de l’Assemblée nationale, ainsi que les fonctionnaires parlementaires, pour leur disponibilité et leur engagement. De manière spécifique, j’adresse ma gratitude à vous, Monsieur le Président de l’Assemblée nationale, pour votre leadership et pour le cadre de dialogue constructif que vous avez su instaurer avec le Gouvernement.</w:t>
      </w:r>
    </w:p>
    <w:p w:rsidR="00000000" w:rsidDel="00000000" w:rsidP="00000000" w:rsidRDefault="00000000" w:rsidRPr="00000000" w14:paraId="0000007C">
      <w:pPr>
        <w:spacing w:after="120" w:before="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En adoptant ce Projet de Loi de Finances Rectificative pour l’exercice 2026, votre auguste Assemblée ne votera pas seulement des crédits : </w:t>
      </w:r>
      <w:r w:rsidDel="00000000" w:rsidR="00000000" w:rsidRPr="00000000">
        <w:rPr>
          <w:rFonts w:ascii="Century Gothic" w:cs="Century Gothic" w:eastAsia="Century Gothic" w:hAnsi="Century Gothic"/>
          <w:b w:val="1"/>
          <w:bCs w:val="1"/>
          <w:sz w:val="24"/>
          <w:szCs w:val="24"/>
          <w:rtl w:val="0"/>
        </w:rPr>
        <w:t xml:space="preserve">elle donnera à l’État les moyens de soigner, d’éduquer, de protéger, de désenclaver et de servir chaque Guinéen, où qu’il se trouve. C’est dans cet esprit que je formule le vœu que vous lui réserviez une suite favorable</w:t>
      </w:r>
      <w:r w:rsidDel="00000000" w:rsidR="00000000" w:rsidRPr="00000000">
        <w:rPr>
          <w:rFonts w:ascii="Century Gothic" w:cs="Century Gothic" w:eastAsia="Century Gothic" w:hAnsi="Century Gothic"/>
          <w:sz w:val="24"/>
          <w:szCs w:val="24"/>
          <w:rtl w:val="0"/>
        </w:rPr>
        <w:t xml:space="preserve">.</w:t>
      </w:r>
    </w:p>
    <w:p w:rsidR="00000000" w:rsidDel="00000000" w:rsidP="00000000" w:rsidRDefault="00000000" w:rsidRPr="00000000" w14:paraId="0000007D">
      <w:pPr>
        <w:spacing w:after="100" w:before="120" w:lineRule="auto"/>
        <w:jc w:val="both"/>
        <w:rPr>
          <w:rFonts w:ascii="Century Gothic" w:cs="Century Gothic" w:eastAsia="Century Gothic" w:hAnsi="Century Gothic"/>
          <w:sz w:val="26"/>
          <w:szCs w:val="26"/>
        </w:rPr>
      </w:pPr>
      <w:r w:rsidDel="00000000" w:rsidR="00000000" w:rsidRPr="00000000">
        <w:rPr>
          <w:rFonts w:ascii="Century Gothic" w:cs="Century Gothic" w:eastAsia="Century Gothic" w:hAnsi="Century Gothic"/>
          <w:b w:val="1"/>
          <w:bCs w:val="1"/>
          <w:sz w:val="26"/>
          <w:szCs w:val="26"/>
          <w:rtl w:val="0"/>
        </w:rPr>
        <w:t xml:space="preserve">Que Dieu bénisse la Guinée et les Guinéens !</w:t>
      </w:r>
      <w:r w:rsidDel="00000000" w:rsidR="00000000" w:rsidRPr="00000000">
        <w:rPr>
          <w:rtl w:val="0"/>
        </w:rPr>
      </w:r>
    </w:p>
    <w:p w:rsidR="00000000" w:rsidDel="00000000" w:rsidP="00000000" w:rsidRDefault="00000000" w:rsidRPr="00000000" w14:paraId="0000007E">
      <w:pPr>
        <w:spacing w:after="100" w:before="120" w:lineRule="auto"/>
        <w:jc w:val="both"/>
        <w:rPr>
          <w:rFonts w:ascii="Century Gothic" w:cs="Century Gothic" w:eastAsia="Century Gothic" w:hAnsi="Century Gothic"/>
          <w:b w:val="1"/>
          <w:bCs w:val="1"/>
          <w:sz w:val="26"/>
          <w:szCs w:val="26"/>
        </w:rPr>
      </w:pPr>
      <w:r w:rsidDel="00000000" w:rsidR="00000000" w:rsidRPr="00000000">
        <w:rPr>
          <w:rtl w:val="0"/>
        </w:rPr>
      </w:r>
    </w:p>
    <w:p w:rsidR="00000000" w:rsidDel="00000000" w:rsidP="00000000" w:rsidRDefault="00000000" w:rsidRPr="00000000" w14:paraId="0000007F">
      <w:pPr>
        <w:spacing w:after="100" w:before="120" w:lineRule="auto"/>
        <w:jc w:val="both"/>
        <w:rPr>
          <w:rFonts w:ascii="Century Gothic" w:cs="Century Gothic" w:eastAsia="Century Gothic" w:hAnsi="Century Gothic"/>
          <w:sz w:val="26"/>
          <w:szCs w:val="26"/>
        </w:rPr>
      </w:pPr>
      <w:r w:rsidDel="00000000" w:rsidR="00000000" w:rsidRPr="00000000">
        <w:rPr>
          <w:rFonts w:ascii="Century Gothic" w:cs="Century Gothic" w:eastAsia="Century Gothic" w:hAnsi="Century Gothic"/>
          <w:b w:val="1"/>
          <w:bCs w:val="1"/>
          <w:sz w:val="26"/>
          <w:szCs w:val="26"/>
          <w:rtl w:val="0"/>
        </w:rPr>
        <w:t xml:space="preserve">Je vous remercie.</w:t>
      </w:r>
      <w:r w:rsidDel="00000000" w:rsidR="00000000" w:rsidRPr="00000000">
        <w:rPr>
          <w:rtl w:val="0"/>
        </w:rPr>
      </w:r>
    </w:p>
    <w:p w:rsidR="00000000" w:rsidDel="00000000" w:rsidP="00000000" w:rsidRDefault="00000000" w:rsidRPr="00000000" w14:paraId="00000080">
      <w:pPr>
        <w:spacing w:after="100" w:lineRule="auto"/>
        <w:jc w:val="both"/>
        <w:rPr>
          <w:rFonts w:ascii="Century Gothic" w:cs="Century Gothic" w:eastAsia="Century Gothic" w:hAnsi="Century Gothic"/>
          <w:sz w:val="26"/>
          <w:szCs w:val="26"/>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entury Gothic"/>
  <w:font w:name="Times New Roman"/>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